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13" w:rsidRPr="00807E13" w:rsidRDefault="00807E13" w:rsidP="003502B0">
      <w:pPr>
        <w:tabs>
          <w:tab w:val="left" w:pos="4395"/>
        </w:tabs>
        <w:autoSpaceDE w:val="0"/>
        <w:autoSpaceDN w:val="0"/>
        <w:adjustRightInd w:val="0"/>
        <w:ind w:left="4536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P33"/>
      <w:bookmarkEnd w:id="0"/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</w:t>
      </w:r>
    </w:p>
    <w:p w:rsidR="00807E13" w:rsidRPr="00807E13" w:rsidRDefault="00807E13" w:rsidP="003502B0">
      <w:pPr>
        <w:tabs>
          <w:tab w:val="left" w:pos="4395"/>
        </w:tabs>
        <w:autoSpaceDE w:val="0"/>
        <w:autoSpaceDN w:val="0"/>
        <w:adjustRightInd w:val="0"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аспоряжением Администрации </w:t>
      </w:r>
    </w:p>
    <w:p w:rsidR="00807E13" w:rsidRPr="00807E13" w:rsidRDefault="00807E13" w:rsidP="003502B0">
      <w:pPr>
        <w:tabs>
          <w:tab w:val="left" w:pos="4395"/>
        </w:tabs>
        <w:autoSpaceDE w:val="0"/>
        <w:autoSpaceDN w:val="0"/>
        <w:adjustRightInd w:val="0"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Курской области</w:t>
      </w:r>
    </w:p>
    <w:p w:rsidR="00807E13" w:rsidRPr="00807E13" w:rsidRDefault="00807E13" w:rsidP="003502B0">
      <w:pPr>
        <w:tabs>
          <w:tab w:val="left" w:pos="4395"/>
        </w:tabs>
        <w:autoSpaceDE w:val="0"/>
        <w:autoSpaceDN w:val="0"/>
        <w:adjustRightInd w:val="0"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15.12.2016</w:t>
      </w:r>
      <w:r w:rsidR="003502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 132-ра</w:t>
      </w:r>
    </w:p>
    <w:p w:rsidR="00807E13" w:rsidRPr="00807E13" w:rsidRDefault="00807E13" w:rsidP="003502B0">
      <w:pPr>
        <w:tabs>
          <w:tab w:val="left" w:pos="4395"/>
        </w:tabs>
        <w:autoSpaceDE w:val="0"/>
        <w:autoSpaceDN w:val="0"/>
        <w:adjustRightInd w:val="0"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(в редакции распоряжения </w:t>
      </w:r>
      <w:proofErr w:type="gramEnd"/>
    </w:p>
    <w:p w:rsidR="00807E13" w:rsidRPr="00807E13" w:rsidRDefault="00807E13" w:rsidP="003502B0">
      <w:pPr>
        <w:tabs>
          <w:tab w:val="left" w:pos="4395"/>
        </w:tabs>
        <w:autoSpaceDE w:val="0"/>
        <w:autoSpaceDN w:val="0"/>
        <w:adjustRightInd w:val="0"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 Курской области</w:t>
      </w:r>
    </w:p>
    <w:p w:rsidR="00807E13" w:rsidRPr="00807E13" w:rsidRDefault="00807E13" w:rsidP="003502B0">
      <w:pPr>
        <w:tabs>
          <w:tab w:val="left" w:pos="4395"/>
        </w:tabs>
        <w:autoSpaceDE w:val="0"/>
        <w:autoSpaceDN w:val="0"/>
        <w:adjustRightInd w:val="0"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____________ № </w:t>
      </w:r>
      <w:proofErr w:type="spellStart"/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</w:t>
      </w:r>
      <w:proofErr w:type="gramStart"/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_-</w:t>
      </w:r>
      <w:proofErr w:type="gramEnd"/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</w:t>
      </w:r>
      <w:proofErr w:type="spellEnd"/>
      <w:r w:rsidRPr="00807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</w:p>
    <w:p w:rsidR="00807E13" w:rsidRPr="00807E13" w:rsidRDefault="00807E13" w:rsidP="00807E13">
      <w:pPr>
        <w:tabs>
          <w:tab w:val="left" w:pos="3969"/>
        </w:tabs>
        <w:autoSpaceDE w:val="0"/>
        <w:autoSpaceDN w:val="0"/>
        <w:adjustRightInd w:val="0"/>
        <w:ind w:left="368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D08A7" w:rsidRPr="00807E13" w:rsidRDefault="006D08A7" w:rsidP="00A054A5">
      <w:pPr>
        <w:tabs>
          <w:tab w:val="left" w:pos="2625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7D7B" w:rsidRPr="00807E13" w:rsidRDefault="00AA5DC6" w:rsidP="00B659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3">
        <w:rPr>
          <w:rFonts w:ascii="Times New Roman" w:hAnsi="Times New Roman" w:cs="Times New Roman"/>
          <w:b/>
          <w:sz w:val="28"/>
          <w:szCs w:val="28"/>
        </w:rPr>
        <w:t>Долгосрочный п</w:t>
      </w:r>
      <w:r w:rsidR="00A57D7B" w:rsidRPr="00807E13">
        <w:rPr>
          <w:rFonts w:ascii="Times New Roman" w:hAnsi="Times New Roman" w:cs="Times New Roman"/>
          <w:b/>
          <w:sz w:val="28"/>
          <w:szCs w:val="28"/>
        </w:rPr>
        <w:t>рогноз</w:t>
      </w:r>
      <w:r w:rsidR="00B65922" w:rsidRPr="00807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7D7B" w:rsidRPr="00807E13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  <w:r w:rsidR="00A57D7B" w:rsidRPr="00807E13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B65922" w:rsidRPr="00807E13" w:rsidRDefault="00B65922" w:rsidP="00B659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3">
        <w:rPr>
          <w:rFonts w:ascii="Times New Roman" w:hAnsi="Times New Roman" w:cs="Times New Roman"/>
          <w:b/>
          <w:sz w:val="28"/>
          <w:szCs w:val="28"/>
        </w:rPr>
        <w:t>Курской области до 2030 года</w:t>
      </w:r>
    </w:p>
    <w:p w:rsidR="00807E13" w:rsidRPr="001D4D25" w:rsidRDefault="00807E13" w:rsidP="00807E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13" w:rsidRPr="00342EC4" w:rsidRDefault="00807E13" w:rsidP="00807E13">
      <w:pPr>
        <w:pStyle w:val="BodyTextIndent21"/>
        <w:widowControl w:val="0"/>
      </w:pPr>
      <w:proofErr w:type="gramStart"/>
      <w:r w:rsidRPr="00884018">
        <w:rPr>
          <w:szCs w:val="28"/>
        </w:rPr>
        <w:t xml:space="preserve">Долгосрочный прогноз социально-экономического развития Курской области до 2030 года  (далее – прогноз) разработан в соответствии с Федеральным законом от  28 июня 2014 года № 172-ФЗ «О стратегическом планировании в Российской Федерации» и </w:t>
      </w:r>
      <w:r w:rsidRPr="00884018">
        <w:t xml:space="preserve">постановлениями Администрации </w:t>
      </w:r>
      <w:r w:rsidRPr="00342EC4">
        <w:t>от 20.05.2019 № 445-па «О разработке прогноза социально-экономического развития Курской области и проекта областного бюджета на 2020 год и на плановый период 2021 и 2022 годов», от 25.12.2015 № 940-па</w:t>
      </w:r>
      <w:proofErr w:type="gramEnd"/>
      <w:r w:rsidRPr="00342EC4">
        <w:t xml:space="preserve"> «О Порядке разработки и корректировки прогнозов </w:t>
      </w:r>
      <w:proofErr w:type="gramStart"/>
      <w:r w:rsidRPr="00342EC4">
        <w:t>социально-экономического</w:t>
      </w:r>
      <w:proofErr w:type="gramEnd"/>
      <w:r w:rsidRPr="00342EC4">
        <w:t xml:space="preserve"> развития Курской области на среднесрочный и долгосрочный периоды» на основе:</w:t>
      </w:r>
    </w:p>
    <w:p w:rsidR="00807E13" w:rsidRPr="00744DC9" w:rsidRDefault="00807E13" w:rsidP="00807E13">
      <w:pPr>
        <w:pStyle w:val="BodyTextIndent21"/>
        <w:widowControl w:val="0"/>
      </w:pPr>
      <w:r w:rsidRPr="00744DC9">
        <w:t>исходной информации для использования при разработке прогноза социально-экономического развития Российской Федерации</w:t>
      </w:r>
      <w:r w:rsidRPr="00744DC9">
        <w:rPr>
          <w:szCs w:val="28"/>
        </w:rPr>
        <w:t xml:space="preserve"> на 2020-2024 годы, направленной Министерством экономического развития Российской Федерации органам государственной власти субъектов Российской Федерации (письмо от 26.04.2019 № Д14и-14298)</w:t>
      </w:r>
      <w:r w:rsidRPr="00744DC9">
        <w:t>;</w:t>
      </w:r>
    </w:p>
    <w:p w:rsidR="00807E13" w:rsidRPr="00DB5E4F" w:rsidRDefault="00807E13" w:rsidP="00807E1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DB5E4F">
        <w:rPr>
          <w:color w:val="auto"/>
          <w:sz w:val="28"/>
          <w:szCs w:val="28"/>
        </w:rPr>
        <w:t>предложений участников разработки прогноза социально- экономического развития Курской области, с учетом проведенного в июне 2019 года согласования с муниципальными образованиями Курской области основных показателей прогноза социально-экономического развития на 2020 год и плановый период 2021 и 2022 годов (в трех вариантах), отражающих динамику развития Курской области за предыдущие годы, ожидаемые итоги социально-экономического развития области за 201</w:t>
      </w:r>
      <w:r>
        <w:rPr>
          <w:color w:val="auto"/>
          <w:sz w:val="28"/>
          <w:szCs w:val="28"/>
        </w:rPr>
        <w:t>9</w:t>
      </w:r>
      <w:r w:rsidRPr="00DB5E4F">
        <w:rPr>
          <w:color w:val="auto"/>
          <w:sz w:val="28"/>
          <w:szCs w:val="28"/>
        </w:rPr>
        <w:t xml:space="preserve"> год,</w:t>
      </w:r>
      <w:r w:rsidRPr="00DB5E4F">
        <w:rPr>
          <w:rFonts w:eastAsia="Calibri"/>
          <w:color w:val="auto"/>
          <w:sz w:val="28"/>
          <w:szCs w:val="28"/>
        </w:rPr>
        <w:t xml:space="preserve"> социально-демографические процессы, тенденции их</w:t>
      </w:r>
      <w:proofErr w:type="gramEnd"/>
      <w:r w:rsidRPr="00DB5E4F">
        <w:rPr>
          <w:rFonts w:eastAsia="Calibri"/>
          <w:color w:val="auto"/>
          <w:sz w:val="28"/>
          <w:szCs w:val="28"/>
        </w:rPr>
        <w:t xml:space="preserve"> развития и другие условия функционирования экономики и социальной сферы в Курской  области</w:t>
      </w:r>
      <w:r>
        <w:rPr>
          <w:rFonts w:eastAsia="Calibri"/>
          <w:color w:val="auto"/>
          <w:sz w:val="28"/>
          <w:szCs w:val="28"/>
        </w:rPr>
        <w:t>;</w:t>
      </w:r>
    </w:p>
    <w:p w:rsidR="00807E13" w:rsidRPr="00884018" w:rsidRDefault="00807E13" w:rsidP="00807E13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884018">
        <w:rPr>
          <w:rFonts w:eastAsia="Calibri"/>
          <w:color w:val="auto"/>
          <w:sz w:val="28"/>
          <w:szCs w:val="28"/>
        </w:rPr>
        <w:t>предложений участников по корректировке показателей прогноза социально-экономического развития Курской области до 2030 года, утвержденных распоряжением Администрации Курской области от 15.12.2016 № 450-ра (в редакции распоряжения Администрации Курской области от 25.03.2019 № 132-ра).</w:t>
      </w:r>
    </w:p>
    <w:p w:rsidR="00807E13" w:rsidRPr="00CB12D3" w:rsidRDefault="00807E13" w:rsidP="00807E13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B12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 подготовке основных параметров прогноза были использованы данные государственной статистики, органов исполнительной власти Курской области, органов местного самоуправления, предприятий и </w:t>
      </w:r>
      <w:r w:rsidRPr="00CB12D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организаций.</w:t>
      </w:r>
    </w:p>
    <w:p w:rsidR="00807E13" w:rsidRPr="001D4D25" w:rsidRDefault="00807E13" w:rsidP="00807E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b/>
          <w:color w:val="auto"/>
          <w:sz w:val="28"/>
          <w:szCs w:val="28"/>
        </w:rPr>
        <w:t>1. Оценка достигнутого уровня социально-экономического развития Курской области и ожидаемые итоги социально-экономического развития Курской области за 2019 год</w:t>
      </w:r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По итогам 2018 года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макроэкономический показатель - 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валовой региональный продукт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- оценивается с ростом на 1,9 % (по России оценка на уровне 102,3 %). 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Среднегодовая численность населения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в целом по Курской области за 2018 год сложилась на уровне 1111,1 тыс. человек (в 2017 году – 1119,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человек). </w:t>
      </w:r>
    </w:p>
    <w:p w:rsidR="00807E13" w:rsidRPr="00A652AF" w:rsidRDefault="00807E13" w:rsidP="00807E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652A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Индекс промышленного производства</w:t>
      </w:r>
      <w:r w:rsidRPr="00A652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итогам 2018 года составил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Pr="00A652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103,0 </w:t>
      </w:r>
      <w:r w:rsidRPr="00A652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к 2017 году (по России – 102,9 %, по ЦФО – 108,5%), в том числе в добыче полезных ископаемых – </w:t>
      </w:r>
      <w:r w:rsidRPr="00A652AF">
        <w:rPr>
          <w:rFonts w:ascii="Times New Roman" w:eastAsia="Times New Roman" w:hAnsi="Times New Roman" w:cs="Times New Roman"/>
          <w:sz w:val="28"/>
          <w:szCs w:val="28"/>
          <w:lang w:bidi="ar-SA"/>
        </w:rPr>
        <w:t>110,2 %</w:t>
      </w:r>
      <w:r w:rsidRPr="00A652AF">
        <w:rPr>
          <w:rFonts w:ascii="Arial" w:eastAsia="Times New Roman" w:hAnsi="Arial" w:cs="Times New Roman"/>
          <w:sz w:val="20"/>
          <w:szCs w:val="20"/>
          <w:lang w:bidi="ar-SA"/>
        </w:rPr>
        <w:t xml:space="preserve"> </w:t>
      </w:r>
      <w:r w:rsidRPr="00A652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(по России – 104,1 %, по ЦФО – 104,2 %); в обрабатывающих отраслях - </w:t>
      </w:r>
      <w:r w:rsidRPr="00A652AF">
        <w:rPr>
          <w:rFonts w:ascii="Times New Roman" w:eastAsia="Times New Roman" w:hAnsi="Times New Roman" w:cs="Times New Roman"/>
          <w:sz w:val="28"/>
          <w:szCs w:val="28"/>
          <w:lang w:bidi="ar-SA"/>
        </w:rPr>
        <w:t>102,5 %</w:t>
      </w:r>
      <w:r w:rsidRPr="00A652AF">
        <w:rPr>
          <w:rFonts w:ascii="Arial" w:eastAsia="Times New Roman" w:hAnsi="Arial" w:cs="Times New Roman"/>
          <w:sz w:val="20"/>
          <w:szCs w:val="20"/>
          <w:lang w:bidi="ar-SA"/>
        </w:rPr>
        <w:t xml:space="preserve"> </w:t>
      </w:r>
      <w:r w:rsidRPr="00A652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(по России – 102,6 %, по ЦФО – 109,1 %); в обеспечении электрической энергией, газом и паром, кондиционировании воздуха – </w:t>
      </w:r>
      <w:r w:rsidRPr="00A652AF">
        <w:rPr>
          <w:rFonts w:ascii="Times New Roman" w:eastAsia="Times New Roman" w:hAnsi="Times New Roman" w:cs="Times New Roman"/>
          <w:sz w:val="28"/>
          <w:szCs w:val="28"/>
          <w:lang w:bidi="ar-SA"/>
        </w:rPr>
        <w:t>88,9</w:t>
      </w:r>
      <w:r w:rsidRPr="00A652AF">
        <w:rPr>
          <w:rFonts w:ascii="Times New Roman" w:eastAsia="T3Font_8" w:hAnsi="Times New Roman" w:cs="Times New Roman"/>
          <w:bCs/>
          <w:sz w:val="28"/>
          <w:szCs w:val="28"/>
          <w:lang w:bidi="ar-SA"/>
        </w:rPr>
        <w:t xml:space="preserve"> %</w:t>
      </w:r>
      <w:r w:rsidRPr="00A652AF">
        <w:rPr>
          <w:rFonts w:ascii="Arial" w:eastAsia="T3Font_8" w:hAnsi="Arial" w:cs="Times New Roman"/>
          <w:bCs/>
          <w:sz w:val="20"/>
          <w:szCs w:val="20"/>
          <w:lang w:bidi="ar-SA"/>
        </w:rPr>
        <w:t xml:space="preserve"> </w:t>
      </w:r>
      <w:r w:rsidRPr="00A652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России – 101,6 %, по ЦФО – 88,9 %);</w:t>
      </w:r>
      <w:proofErr w:type="gramEnd"/>
      <w:r w:rsidRPr="00A652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водоснабжении, водоотведении, организации сбора и утилизации отходов, деятельности по ликвидации загрязнений – </w:t>
      </w:r>
      <w:r w:rsidRPr="00A652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118,0 </w:t>
      </w:r>
      <w:r w:rsidRPr="00A652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(по России – 102,0 %, по ЦФО – 103,0 %). 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Индекс производства продукции  сельского хозяйства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2018 года составил 101,0 % (по России – 99,4 %, по ЦФО – 103,1 %).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>изведено 4,5 млн. тонн зерна (в весе после доработки) и 5,0 млн. тонн сахарной свеклы, 523,8 тыс. тонн скота и птицы на убой в живом весе, 289,9 тыс. тонн молока.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Объем инвестиций в основной капитал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вырос на 13,6 % к уровню 2017 года (в сопоставимых ценах) и составил 119,9 млрд. рублей (индекс физического объема инвестиций по России – 104,3 %, по ЦФО – 108,9 %).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Работы по виду 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деятельности «Строительство»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в 2018 году  выполнены в объеме почти 52,0 млрд. рублей (100,5 % к 2017 году). Сданы в эксплуатацию жилые дома площадью 594,8 тыс. кв. метров (100,7 % к  уровню 2017 года). </w:t>
      </w:r>
      <w:r w:rsidRPr="00A652A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Введено в эксплуатацию 242,5 км газораспределительных сетей. 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На начало 2019 года уровень газификации по Курской области составил 97,6 %, в том числе в сельской местности – </w:t>
      </w:r>
      <w:r w:rsidR="003453F0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>92,8 %.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>Продолжалось строительство социально значимых объектов в сфере образования, здравоохранения, культуры, спорта.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По итогам 2018 года индекс физического объема 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оборота розничной торговли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составил 104,3 % (по России – 102,8 %, по ЦФО – 104,2 %), 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оборота общественного питания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– 102,8 % (по России – 104,2 %, по ЦФО – 107,5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%),  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объема платных услуг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– 99,5 % (по России – 102,5 %, по ЦФО – 103,4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С ростом на 9,8 % выросла 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среднемесячная заработная плата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одного работника (по России – рост на 9,9 %); на 3,0 % возросли денежные доходы на душу населения, превысив в 3,0 раза величину прожиточного минимума.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Уровень безработицы к экономически активному населению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в 2018 году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(по методологии МОТ) составил 4,0 %; уровень регистрируемой безработицы – 0,69 %. 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1B0B">
        <w:rPr>
          <w:rFonts w:ascii="Times New Roman" w:hAnsi="Times New Roman" w:cs="Times New Roman"/>
          <w:i/>
          <w:color w:val="auto"/>
          <w:sz w:val="28"/>
          <w:szCs w:val="28"/>
        </w:rPr>
        <w:t>По итогам 11 месяцев 2019 года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B0B">
        <w:rPr>
          <w:rFonts w:ascii="Times New Roman" w:hAnsi="Times New Roman" w:cs="Times New Roman"/>
          <w:i/>
          <w:color w:val="auto"/>
          <w:sz w:val="28"/>
          <w:szCs w:val="28"/>
        </w:rPr>
        <w:t>индекс промышленного производства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 xml:space="preserve"> составил 99,3 %, в том числе в добыче полезных ископаемых – 100,5 %; обрабатывающих производствах – 98,3 %; обеспечении электрической энергией, газом и паром, кондиционировании воздуха – </w:t>
      </w:r>
      <w:r w:rsidR="003453F0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>97,3 %</w:t>
      </w:r>
      <w:r w:rsidRPr="00CF1B0B">
        <w:rPr>
          <w:rFonts w:ascii="Times New Roman" w:eastAsia="T3Font_8" w:hAnsi="Times New Roman" w:cs="Times New Roman"/>
          <w:bCs/>
          <w:color w:val="auto"/>
          <w:sz w:val="28"/>
          <w:szCs w:val="28"/>
        </w:rPr>
        <w:t xml:space="preserve">; 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>водоснабжении, водоотведении, организации сбора и утилизации отходов, деятельности по ликвидации загрязнений – 109,2 %.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1B0B">
        <w:rPr>
          <w:rFonts w:ascii="Times New Roman" w:hAnsi="Times New Roman" w:cs="Times New Roman"/>
          <w:color w:val="auto"/>
          <w:sz w:val="28"/>
          <w:szCs w:val="28"/>
        </w:rPr>
        <w:t>Отгружено товаров собственного производства, выполнено работ и услуг на сумму 337,0 млрд. рублей, что выше уровня сопоставимого периода 2018 года на 7 %.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1B0B">
        <w:rPr>
          <w:rFonts w:ascii="Times New Roman" w:hAnsi="Times New Roman" w:cs="Times New Roman"/>
          <w:color w:val="auto"/>
          <w:sz w:val="28"/>
          <w:szCs w:val="28"/>
        </w:rPr>
        <w:t>По оценке в 2019 году ожидается рост объема отгруженных товаров собственного производства (в ценах соответствующих лет) на 9,1 % к 2018 году, индекс промышленного производства – 100,1 %.</w:t>
      </w:r>
    </w:p>
    <w:p w:rsidR="00807E13" w:rsidRPr="00CF1B0B" w:rsidRDefault="00807E13" w:rsidP="00807E1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B0B">
        <w:rPr>
          <w:rFonts w:ascii="Times New Roman" w:hAnsi="Times New Roman" w:cs="Times New Roman"/>
          <w:i/>
          <w:sz w:val="28"/>
          <w:szCs w:val="28"/>
        </w:rPr>
        <w:t>Агропромышленный комплекс</w:t>
      </w:r>
      <w:r w:rsidRPr="00CF1B0B">
        <w:rPr>
          <w:rFonts w:ascii="Times New Roman" w:hAnsi="Times New Roman" w:cs="Times New Roman"/>
          <w:sz w:val="28"/>
          <w:szCs w:val="28"/>
        </w:rPr>
        <w:t xml:space="preserve"> и его базовая отрасль – сельское хозяйство являются приоритетными сферами экономики региона, формирующими агропродовольственный рынок, продовольственную безопасность, трудовой потенциал сельских территорий. 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1B0B">
        <w:rPr>
          <w:rFonts w:ascii="Times New Roman" w:hAnsi="Times New Roman"/>
          <w:color w:val="auto"/>
          <w:sz w:val="28"/>
          <w:szCs w:val="28"/>
        </w:rPr>
        <w:t xml:space="preserve">В регионе принимаются меры для успешного развития агропромышленного комплекса. Реализуются 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>мероприятия г</w:t>
      </w:r>
      <w:r w:rsidRPr="00CF1B0B">
        <w:rPr>
          <w:rFonts w:ascii="Times New Roman" w:hAnsi="Times New Roman"/>
          <w:color w:val="auto"/>
          <w:sz w:val="28"/>
          <w:szCs w:val="28"/>
        </w:rPr>
        <w:t xml:space="preserve">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области», соглашения о сотрудничестве с агропромышленными компаниями.  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0B">
        <w:rPr>
          <w:rFonts w:ascii="Times New Roman" w:hAnsi="Times New Roman" w:cs="Times New Roman"/>
          <w:i/>
          <w:sz w:val="28"/>
          <w:szCs w:val="28"/>
        </w:rPr>
        <w:t>Индекс производства продукции сельского хозяйства</w:t>
      </w:r>
      <w:r w:rsidRPr="00CF1B0B">
        <w:rPr>
          <w:rFonts w:ascii="Times New Roman" w:hAnsi="Times New Roman" w:cs="Times New Roman"/>
          <w:sz w:val="28"/>
          <w:szCs w:val="28"/>
        </w:rPr>
        <w:t xml:space="preserve"> в январе-сентябре 2019 года составил 106,6 % к январю-сентябрю 2018 года  (в соответствии с Федеральным планом статистических работ показатель рассчитывается ежеквартально).</w:t>
      </w:r>
    </w:p>
    <w:p w:rsidR="00807E13" w:rsidRPr="008B4942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42">
        <w:rPr>
          <w:rFonts w:ascii="Times New Roman" w:hAnsi="Times New Roman" w:cs="Times New Roman"/>
          <w:sz w:val="28"/>
          <w:szCs w:val="28"/>
        </w:rPr>
        <w:t xml:space="preserve">В 2019 году по предварительным данным в хозяйствах всех категорий </w:t>
      </w:r>
      <w:r w:rsidR="00476085" w:rsidRPr="008B4942">
        <w:rPr>
          <w:rFonts w:ascii="Times New Roman" w:hAnsi="Times New Roman" w:cs="Times New Roman"/>
          <w:sz w:val="28"/>
          <w:szCs w:val="28"/>
        </w:rPr>
        <w:t>произведено</w:t>
      </w:r>
      <w:r w:rsidRPr="008B4942">
        <w:rPr>
          <w:rFonts w:ascii="Times New Roman" w:hAnsi="Times New Roman" w:cs="Times New Roman"/>
          <w:sz w:val="28"/>
          <w:szCs w:val="28"/>
        </w:rPr>
        <w:t xml:space="preserve"> </w:t>
      </w:r>
      <w:r w:rsidR="00BE44B4" w:rsidRPr="008B4942">
        <w:rPr>
          <w:rFonts w:ascii="Times New Roman" w:hAnsi="Times New Roman" w:cs="Times New Roman"/>
          <w:sz w:val="28"/>
          <w:szCs w:val="28"/>
        </w:rPr>
        <w:t>5,</w:t>
      </w:r>
      <w:r w:rsidR="00AB22E1" w:rsidRPr="008B4942">
        <w:rPr>
          <w:rFonts w:ascii="Times New Roman" w:hAnsi="Times New Roman" w:cs="Times New Roman"/>
          <w:sz w:val="28"/>
          <w:szCs w:val="28"/>
        </w:rPr>
        <w:t>0</w:t>
      </w:r>
      <w:r w:rsidRPr="008B4942">
        <w:rPr>
          <w:rFonts w:ascii="Times New Roman" w:hAnsi="Times New Roman" w:cs="Times New Roman"/>
          <w:sz w:val="28"/>
          <w:szCs w:val="28"/>
        </w:rPr>
        <w:t xml:space="preserve"> </w:t>
      </w:r>
      <w:r w:rsidR="00AB22E1" w:rsidRPr="008B4942">
        <w:rPr>
          <w:rFonts w:ascii="Times New Roman" w:hAnsi="Times New Roman" w:cs="Times New Roman"/>
          <w:sz w:val="28"/>
          <w:szCs w:val="28"/>
        </w:rPr>
        <w:t>млн</w:t>
      </w:r>
      <w:r w:rsidRPr="008B4942">
        <w:rPr>
          <w:rFonts w:ascii="Times New Roman" w:hAnsi="Times New Roman" w:cs="Times New Roman"/>
          <w:sz w:val="28"/>
          <w:szCs w:val="28"/>
        </w:rPr>
        <w:t>. тонн зерн</w:t>
      </w:r>
      <w:r w:rsidR="00E1113F" w:rsidRPr="008B4942">
        <w:rPr>
          <w:rFonts w:ascii="Times New Roman" w:hAnsi="Times New Roman" w:cs="Times New Roman"/>
          <w:sz w:val="28"/>
          <w:szCs w:val="28"/>
        </w:rPr>
        <w:t>а</w:t>
      </w:r>
      <w:r w:rsidR="00AB22E1" w:rsidRPr="008B4942">
        <w:rPr>
          <w:rFonts w:ascii="Times New Roman" w:hAnsi="Times New Roman" w:cs="Times New Roman"/>
          <w:sz w:val="28"/>
          <w:szCs w:val="28"/>
        </w:rPr>
        <w:t xml:space="preserve"> </w:t>
      </w:r>
      <w:r w:rsidR="00B51E5D" w:rsidRPr="008B4942">
        <w:rPr>
          <w:rFonts w:ascii="Times New Roman" w:hAnsi="Times New Roman" w:cs="Times New Roman"/>
          <w:sz w:val="28"/>
          <w:szCs w:val="28"/>
        </w:rPr>
        <w:t>(</w:t>
      </w:r>
      <w:r w:rsidR="00AB22E1" w:rsidRPr="008B4942">
        <w:rPr>
          <w:rFonts w:ascii="Times New Roman" w:hAnsi="Times New Roman" w:cs="Times New Roman"/>
          <w:sz w:val="28"/>
          <w:szCs w:val="28"/>
        </w:rPr>
        <w:t>в весе после доработки</w:t>
      </w:r>
      <w:r w:rsidR="00B51E5D" w:rsidRPr="008B4942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Pr="008B4942">
        <w:rPr>
          <w:rFonts w:ascii="Times New Roman" w:hAnsi="Times New Roman" w:cs="Times New Roman"/>
          <w:sz w:val="28"/>
          <w:szCs w:val="28"/>
        </w:rPr>
        <w:t xml:space="preserve">, </w:t>
      </w:r>
      <w:r w:rsidR="00BE44B4" w:rsidRPr="008B4942">
        <w:rPr>
          <w:rFonts w:ascii="Times New Roman" w:hAnsi="Times New Roman" w:cs="Times New Roman"/>
          <w:sz w:val="28"/>
          <w:szCs w:val="28"/>
        </w:rPr>
        <w:t>5,3 млн. тонн</w:t>
      </w:r>
      <w:r w:rsidRPr="008B4942">
        <w:rPr>
          <w:rFonts w:ascii="Times New Roman" w:hAnsi="Times New Roman" w:cs="Times New Roman"/>
          <w:sz w:val="28"/>
          <w:szCs w:val="28"/>
        </w:rPr>
        <w:t xml:space="preserve"> сахарной свеклы.</w:t>
      </w:r>
      <w:r w:rsidR="008B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январь-ноябрь 2019 года п</w:t>
      </w:r>
      <w:r w:rsidRPr="00CF1B0B">
        <w:rPr>
          <w:rFonts w:ascii="Times New Roman" w:hAnsi="Times New Roman" w:cs="Times New Roman"/>
          <w:sz w:val="28"/>
          <w:szCs w:val="28"/>
        </w:rPr>
        <w:t xml:space="preserve">роизведено скота и птицы на убой в живом весе в хозяйствах всех категорий 481,8 тыс. тонн (99,3 % к январю-ноябрю 2018 года), молока – 281,7 тыс. тонн (103,9 %), яиц – 156,4 </w:t>
      </w:r>
      <w:r w:rsidRPr="008B4942">
        <w:rPr>
          <w:rFonts w:ascii="Times New Roman" w:hAnsi="Times New Roman" w:cs="Times New Roman"/>
          <w:sz w:val="28"/>
          <w:szCs w:val="28"/>
        </w:rPr>
        <w:t xml:space="preserve">млн. штук (105,3 %). </w:t>
      </w:r>
    </w:p>
    <w:p w:rsidR="00BE44B4" w:rsidRPr="008B4942" w:rsidRDefault="00807E13" w:rsidP="00BE44B4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4942">
        <w:rPr>
          <w:rFonts w:ascii="Times New Roman" w:hAnsi="Times New Roman" w:cs="Times New Roman"/>
          <w:sz w:val="28"/>
          <w:szCs w:val="28"/>
        </w:rPr>
        <w:t>ООО «Агропромышленный холдинг «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» приступил к активной фазе строительства свиноводческих комплексов на территории области. </w:t>
      </w:r>
      <w:r w:rsidR="00BE44B4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</w:t>
      </w:r>
      <w:r w:rsidR="00476085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Рыльском, </w:t>
      </w:r>
      <w:proofErr w:type="spellStart"/>
      <w:r w:rsidR="00476085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Фатежском</w:t>
      </w:r>
      <w:proofErr w:type="spellEnd"/>
      <w:r w:rsidR="00476085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476085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Хомутовском</w:t>
      </w:r>
      <w:proofErr w:type="spellEnd"/>
      <w:r w:rsidR="00476085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476085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Кореневском</w:t>
      </w:r>
      <w:proofErr w:type="spellEnd"/>
      <w:r w:rsidR="00476085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476085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Золотухинском</w:t>
      </w:r>
      <w:proofErr w:type="spellEnd"/>
      <w:r w:rsidR="00476085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районах </w:t>
      </w:r>
      <w:r w:rsidR="00BE44B4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завершено строительство </w:t>
      </w:r>
      <w:proofErr w:type="spellStart"/>
      <w:r w:rsidR="00BE44B4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свинокомплексов</w:t>
      </w:r>
      <w:proofErr w:type="spellEnd"/>
      <w:r w:rsidR="00E1113F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которые реализуются в рамках проекта «Удвоение свиноводства»</w:t>
      </w:r>
      <w:r w:rsidR="00BE44B4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На объектах установлен 4-й уровень биологической безопасности, завозится маточное поголовье, идет </w:t>
      </w:r>
      <w:r w:rsidR="00BE44B4" w:rsidRPr="008B4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апробирование оборудования</w:t>
      </w:r>
      <w:r w:rsidR="00BE44B4" w:rsidRPr="008B4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807E13" w:rsidRPr="00CF1B0B" w:rsidRDefault="00807E13" w:rsidP="00BE44B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B4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ООО «</w:t>
      </w:r>
      <w:proofErr w:type="spellStart"/>
      <w:r w:rsidRPr="008B4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Агропромкомплектация-Курск</w:t>
      </w:r>
      <w:proofErr w:type="spellEnd"/>
      <w:r w:rsidRPr="008B4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завершает работы</w:t>
      </w:r>
      <w:r w:rsidRPr="00CF1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вводу в эксплуатацию 3 свиноводческих комплексов в </w:t>
      </w:r>
      <w:r w:rsidRPr="00CF1B0B">
        <w:rPr>
          <w:rFonts w:ascii="Times New Roman" w:hAnsi="Times New Roman"/>
          <w:sz w:val="28"/>
          <w:szCs w:val="28"/>
        </w:rPr>
        <w:t xml:space="preserve">Дмитриевском и </w:t>
      </w:r>
      <w:proofErr w:type="spellStart"/>
      <w:r w:rsidRPr="00CF1B0B">
        <w:rPr>
          <w:rFonts w:ascii="Times New Roman" w:hAnsi="Times New Roman"/>
          <w:sz w:val="28"/>
          <w:szCs w:val="28"/>
        </w:rPr>
        <w:lastRenderedPageBreak/>
        <w:t>Конышевском</w:t>
      </w:r>
      <w:proofErr w:type="spellEnd"/>
      <w:r w:rsidRPr="00CF1B0B">
        <w:rPr>
          <w:rFonts w:ascii="Times New Roman" w:hAnsi="Times New Roman"/>
          <w:sz w:val="28"/>
          <w:szCs w:val="28"/>
        </w:rPr>
        <w:t xml:space="preserve"> районах</w:t>
      </w:r>
      <w:r w:rsidRPr="00CF1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(апробирование оборудования, завоз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поголовья</w:t>
      </w:r>
      <w:r w:rsidRPr="00CF1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). </w:t>
      </w:r>
    </w:p>
    <w:p w:rsidR="00807E13" w:rsidRPr="00F84FCE" w:rsidRDefault="00807E13" w:rsidP="00807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1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B0B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CF1B0B">
        <w:rPr>
          <w:rFonts w:ascii="Times New Roman" w:hAnsi="Times New Roman" w:cs="Times New Roman"/>
          <w:sz w:val="28"/>
          <w:szCs w:val="28"/>
        </w:rPr>
        <w:t xml:space="preserve"> районе ООО «</w:t>
      </w:r>
      <w:proofErr w:type="spellStart"/>
      <w:r w:rsidRPr="00CF1B0B">
        <w:rPr>
          <w:rFonts w:ascii="Times New Roman" w:hAnsi="Times New Roman" w:cs="Times New Roman"/>
          <w:sz w:val="28"/>
          <w:szCs w:val="28"/>
        </w:rPr>
        <w:t>Агропромкомплектация-Курск</w:t>
      </w:r>
      <w:proofErr w:type="spellEnd"/>
      <w:r w:rsidRPr="00CF1B0B">
        <w:rPr>
          <w:rFonts w:ascii="Times New Roman" w:hAnsi="Times New Roman" w:cs="Times New Roman"/>
          <w:sz w:val="28"/>
          <w:szCs w:val="28"/>
        </w:rPr>
        <w:t>» введен в эксплуатацию животноводческий комплекс молочного направления</w:t>
      </w:r>
      <w:r w:rsidRPr="00F84FCE">
        <w:rPr>
          <w:rFonts w:ascii="Times New Roman" w:hAnsi="Times New Roman" w:cs="Times New Roman"/>
          <w:sz w:val="28"/>
          <w:szCs w:val="28"/>
        </w:rPr>
        <w:t xml:space="preserve"> на 6000 голов крупного рогатого скота с</w:t>
      </w:r>
      <w:r w:rsidRPr="00F84FCE">
        <w:rPr>
          <w:sz w:val="28"/>
          <w:szCs w:val="28"/>
        </w:rPr>
        <w:t xml:space="preserve"> </w:t>
      </w:r>
      <w:r w:rsidRPr="00F84FCE">
        <w:rPr>
          <w:rFonts w:ascii="Times New Roman" w:hAnsi="Times New Roman" w:cs="Times New Roman"/>
          <w:sz w:val="28"/>
          <w:szCs w:val="28"/>
        </w:rPr>
        <w:t xml:space="preserve">пунктом по приемке, первичной переработке молока. </w:t>
      </w:r>
    </w:p>
    <w:p w:rsidR="00807E13" w:rsidRPr="00F84FCE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Pr="00F84FCE">
        <w:rPr>
          <w:rFonts w:ascii="Times New Roman" w:hAnsi="Times New Roman" w:cs="Times New Roman"/>
          <w:color w:val="auto"/>
          <w:sz w:val="28"/>
          <w:szCs w:val="28"/>
        </w:rPr>
        <w:t xml:space="preserve"> 2019 году намечено произвести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4FCE">
        <w:rPr>
          <w:rFonts w:ascii="Times New Roman" w:hAnsi="Times New Roman" w:cs="Times New Roman"/>
          <w:color w:val="auto"/>
          <w:sz w:val="28"/>
          <w:szCs w:val="28"/>
        </w:rPr>
        <w:t xml:space="preserve">543,6 тыс. тонн скота и птицы на убой в живом весе </w:t>
      </w:r>
      <w:r w:rsidRPr="00F84FCE">
        <w:rPr>
          <w:rFonts w:ascii="Times New Roman" w:hAnsi="Times New Roman" w:cs="Times New Roman"/>
          <w:sz w:val="28"/>
          <w:szCs w:val="28"/>
        </w:rPr>
        <w:t>(103,8 % к 2018 году)</w:t>
      </w:r>
      <w:r w:rsidRPr="00F84FCE">
        <w:rPr>
          <w:rFonts w:ascii="Times New Roman" w:hAnsi="Times New Roman" w:cs="Times New Roman"/>
          <w:color w:val="auto"/>
          <w:sz w:val="28"/>
          <w:szCs w:val="28"/>
        </w:rPr>
        <w:t>, 294,1 тыс. тонн молока (101,4 % к 2018 году).</w:t>
      </w:r>
    </w:p>
    <w:p w:rsidR="00807E13" w:rsidRPr="00A652AF" w:rsidRDefault="00807E13" w:rsidP="00807E1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4FCE">
        <w:rPr>
          <w:rFonts w:ascii="Times New Roman" w:hAnsi="Times New Roman" w:cs="Times New Roman"/>
          <w:sz w:val="28"/>
          <w:szCs w:val="28"/>
        </w:rPr>
        <w:t>По оценке 2019 года ожидается произвести продукции сельского хозяйства в объеме 135,4 млрд. рублей. И</w:t>
      </w:r>
      <w:r w:rsidRPr="00F84FCE">
        <w:rPr>
          <w:rFonts w:ascii="Times New Roman" w:hAnsi="Times New Roman" w:cs="Times New Roman"/>
          <w:color w:val="auto"/>
          <w:sz w:val="28"/>
          <w:szCs w:val="28"/>
        </w:rPr>
        <w:t>ндекс производства продукции сельского хозяйства в хозяйствах всех категорий в 2019 году ожидается на уровне 100,4 %.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продолжается работа по созданию благоприятных условий для улучшения 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инвестиционной привлекательности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: совершенствуется нормативно-правовая  база, реализуются мероприятия Инвестиционной стратегии региона до 2025 года и подпрограммы «Создание благоприятных условий для привлечения инвестиций в экономику Курской области» государственной программы «Развитие экономики и внешних связей Курской области», действуют Совет по 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>улучшению инвестиционного климата и АО «Агентство по привлечению инвестиций Курской области».</w:t>
      </w:r>
      <w:proofErr w:type="gramEnd"/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0B">
        <w:rPr>
          <w:rFonts w:ascii="Times New Roman" w:hAnsi="Times New Roman" w:cs="Times New Roman"/>
          <w:color w:val="auto"/>
          <w:sz w:val="28"/>
          <w:szCs w:val="28"/>
        </w:rPr>
        <w:t>В целом по области по итогам 9 месяцев 2019 года инвестиции в основной капитал освоены в объеме 85,3 млрд. рублей; индекс физического объема инвестиций составил 114,6 % к соответствующему периоду 2018 года</w:t>
      </w:r>
      <w:r w:rsidRPr="00CF1B0B">
        <w:rPr>
          <w:rFonts w:ascii="Times New Roman" w:hAnsi="Times New Roman" w:cs="Times New Roman"/>
          <w:sz w:val="28"/>
          <w:szCs w:val="28"/>
        </w:rPr>
        <w:t xml:space="preserve"> (в соответствии с Федеральным планом статистических работ показатель рассчитывается ежеквартально).</w:t>
      </w:r>
    </w:p>
    <w:p w:rsidR="00807E13" w:rsidRPr="00CF1B0B" w:rsidRDefault="00807E13" w:rsidP="00807E13">
      <w:pPr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1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оценке года ожидается освоение 126,0 млрд. рублей инвестиций в основной капитал (100,0 % к уровню 2018 года в сопоставимых ценах).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0B">
        <w:rPr>
          <w:rFonts w:ascii="Times New Roman" w:hAnsi="Times New Roman" w:cs="Times New Roman"/>
          <w:sz w:val="28"/>
          <w:szCs w:val="28"/>
        </w:rPr>
        <w:t xml:space="preserve">Работы по виду деятельности </w:t>
      </w:r>
      <w:r w:rsidRPr="00CF1B0B">
        <w:rPr>
          <w:rFonts w:ascii="Times New Roman" w:hAnsi="Times New Roman" w:cs="Times New Roman"/>
          <w:i/>
          <w:sz w:val="28"/>
          <w:szCs w:val="28"/>
        </w:rPr>
        <w:t>«Строительство»</w:t>
      </w:r>
      <w:r w:rsidRPr="00CF1B0B">
        <w:rPr>
          <w:rFonts w:ascii="Times New Roman" w:hAnsi="Times New Roman" w:cs="Times New Roman"/>
          <w:sz w:val="28"/>
          <w:szCs w:val="28"/>
        </w:rPr>
        <w:t xml:space="preserve"> в январе-ноябре 2019 года выполнены в объеме 62,96 млрд. рублей (132,2 % к соответствующему периоду 2018 года). Сданы в эксплуатацию жилые дома площадью 44</w:t>
      </w:r>
      <w:r>
        <w:rPr>
          <w:rFonts w:ascii="Times New Roman" w:hAnsi="Times New Roman" w:cs="Times New Roman"/>
          <w:sz w:val="28"/>
          <w:szCs w:val="28"/>
        </w:rPr>
        <w:t>9,8</w:t>
      </w:r>
      <w:r w:rsidRPr="00CF1B0B">
        <w:rPr>
          <w:rFonts w:ascii="Times New Roman" w:hAnsi="Times New Roman" w:cs="Times New Roman"/>
          <w:sz w:val="28"/>
          <w:szCs w:val="28"/>
        </w:rPr>
        <w:t xml:space="preserve"> тыс. кв. метров (110,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1B0B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года).</w:t>
      </w:r>
    </w:p>
    <w:p w:rsidR="00115AED" w:rsidRDefault="003453F0" w:rsidP="003453F0">
      <w:pPr>
        <w:tabs>
          <w:tab w:val="left" w:pos="820"/>
          <w:tab w:val="left" w:pos="15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Завершено строительство </w:t>
      </w:r>
      <w:r w:rsidRPr="00CF1B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средн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ей</w:t>
      </w:r>
      <w:r w:rsidRPr="00CF1B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общеобразовательн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ой</w:t>
      </w:r>
      <w:r w:rsidRPr="00CF1B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школ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ы</w:t>
      </w:r>
      <w:r w:rsidRPr="00CF1B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 г. Железногорске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Pr="003453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15AED" w:rsidRDefault="003453F0" w:rsidP="003453F0">
      <w:pPr>
        <w:tabs>
          <w:tab w:val="left" w:pos="820"/>
          <w:tab w:val="left" w:pos="15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Открыт</w:t>
      </w:r>
      <w:r w:rsidRPr="00CF1B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физкультурно-оздоровительный комплекс в </w:t>
      </w:r>
      <w:proofErr w:type="spellStart"/>
      <w:r w:rsidRPr="00CF1B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Пристенском</w:t>
      </w:r>
      <w:proofErr w:type="spellEnd"/>
      <w:r w:rsidRPr="00CF1B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453F0" w:rsidRPr="00CF1B0B" w:rsidRDefault="00F14FCB" w:rsidP="003453F0">
      <w:pPr>
        <w:tabs>
          <w:tab w:val="left" w:pos="820"/>
          <w:tab w:val="left" w:pos="15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Введены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эксплуатацию 6 фельдшерско-акушерских пункт</w:t>
      </w:r>
      <w:r w:rsidR="006B6D7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ов</w:t>
      </w:r>
      <w:r w:rsidR="00115AE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Беловском, </w:t>
      </w:r>
      <w:proofErr w:type="spellStart"/>
      <w:r w:rsidR="00115AE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Большесолдатском</w:t>
      </w:r>
      <w:proofErr w:type="spellEnd"/>
      <w:r w:rsidR="00115AE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Дмитриевском, </w:t>
      </w:r>
      <w:proofErr w:type="spellStart"/>
      <w:r w:rsidR="00115AE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Медвенском</w:t>
      </w:r>
      <w:proofErr w:type="spellEnd"/>
      <w:r w:rsidR="00115AE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</w:t>
      </w:r>
      <w:proofErr w:type="spellStart"/>
      <w:r w:rsidR="00115AE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Пристенском</w:t>
      </w:r>
      <w:proofErr w:type="spellEnd"/>
      <w:r w:rsidR="00115AE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районах области.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07E13" w:rsidRPr="00CF1B0B" w:rsidRDefault="00807E13" w:rsidP="00807E13">
      <w:pPr>
        <w:tabs>
          <w:tab w:val="left" w:pos="820"/>
          <w:tab w:val="left" w:pos="15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Продолжается строительство средн</w:t>
      </w:r>
      <w:r w:rsidR="003453F0"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ей</w:t>
      </w:r>
      <w:r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общеобразовательн</w:t>
      </w:r>
      <w:r w:rsidR="003453F0"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ой</w:t>
      </w:r>
      <w:r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школ</w:t>
      </w:r>
      <w:r w:rsidR="003453F0"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ы</w:t>
      </w:r>
      <w:r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проспекту В.Клыкова в г. Курске; физкультурно-оздоровительных комплексов в </w:t>
      </w:r>
      <w:proofErr w:type="spellStart"/>
      <w:r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Глушковском</w:t>
      </w:r>
      <w:proofErr w:type="spellEnd"/>
      <w:r w:rsidR="00F14FCB"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 </w:t>
      </w:r>
      <w:proofErr w:type="spellStart"/>
      <w:r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Суджанском</w:t>
      </w:r>
      <w:proofErr w:type="spellEnd"/>
      <w:r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районах</w:t>
      </w:r>
      <w:r w:rsidR="00F14FCB" w:rsidRPr="00F14F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807E13" w:rsidRPr="00CF1B0B" w:rsidRDefault="00456F3F" w:rsidP="00807E13">
      <w:pPr>
        <w:tabs>
          <w:tab w:val="left" w:pos="820"/>
          <w:tab w:val="left" w:pos="15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="00807E13" w:rsidRPr="00CF1B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троительство палатного блока на 340 коек восьмиэтажного лечебно-хирургического корпуса с отделениями функциональной диагностики, эндоскопическим, урологическим, торакальным, абдоминальным и УЗИ Курского областного онкологического диспансера завершено. Администрацией Курского района Курской области 27.11.2019 выдано разрешение на ввод объекта в эксплуатацию. 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CF1B0B">
        <w:rPr>
          <w:rFonts w:ascii="Times New Roman" w:hAnsi="Times New Roman" w:cs="Times New Roman"/>
          <w:sz w:val="28"/>
          <w:szCs w:val="28"/>
        </w:rPr>
        <w:t xml:space="preserve">По оценке 2019 года ожидается выполнение объемов работ по виду деятельности «Строительство» на уровне </w:t>
      </w:r>
      <w:r w:rsidR="000D17CF">
        <w:rPr>
          <w:rFonts w:ascii="Times New Roman" w:hAnsi="Times New Roman" w:cs="Times New Roman"/>
          <w:sz w:val="28"/>
          <w:szCs w:val="28"/>
        </w:rPr>
        <w:t>65,0</w:t>
      </w:r>
      <w:r w:rsidRPr="00CF1B0B">
        <w:rPr>
          <w:rFonts w:ascii="Times New Roman" w:hAnsi="Times New Roman" w:cs="Times New Roman"/>
          <w:sz w:val="28"/>
          <w:szCs w:val="28"/>
        </w:rPr>
        <w:t xml:space="preserve"> млрд. рублей (1</w:t>
      </w:r>
      <w:r w:rsidR="000D17CF">
        <w:rPr>
          <w:rFonts w:ascii="Times New Roman" w:hAnsi="Times New Roman" w:cs="Times New Roman"/>
          <w:sz w:val="28"/>
          <w:szCs w:val="28"/>
        </w:rPr>
        <w:t>19</w:t>
      </w:r>
      <w:r w:rsidR="00DD43FD">
        <w:rPr>
          <w:rFonts w:ascii="Times New Roman" w:hAnsi="Times New Roman" w:cs="Times New Roman"/>
          <w:sz w:val="28"/>
          <w:szCs w:val="28"/>
        </w:rPr>
        <w:t>,0</w:t>
      </w:r>
      <w:r w:rsidRPr="00CF1B0B">
        <w:rPr>
          <w:rFonts w:ascii="Times New Roman" w:hAnsi="Times New Roman" w:cs="Times New Roman"/>
          <w:sz w:val="28"/>
          <w:szCs w:val="28"/>
        </w:rPr>
        <w:t xml:space="preserve"> % к уровню 2018 года).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 xml:space="preserve"> Запланировано сдать в эксплуатацию 656 тыс. кв.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метров жилых домов (110,3 %) и ввести</w:t>
      </w:r>
      <w:r w:rsidRPr="00A652A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в эксплуатацию 260 км газораспределительных сетей. 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>В 2019 году</w:t>
      </w:r>
      <w:r w:rsidRPr="00A652A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потребительском рынке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наблюдается рост оборота розничной торговли за счет увеличения потребительского спроса на непродовольственные товары, в том числе приобретения населением товаров длительного 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 xml:space="preserve">пользования. 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1B0B">
        <w:rPr>
          <w:rFonts w:ascii="Times New Roman" w:hAnsi="Times New Roman" w:cs="Times New Roman"/>
          <w:sz w:val="28"/>
          <w:szCs w:val="28"/>
        </w:rPr>
        <w:t>В январе-ноябре 2019 года темп роста оборота розничной торговли составил 101,9 % против 104,6 % в январе-ноябре 2018 года.</w:t>
      </w:r>
    </w:p>
    <w:p w:rsidR="00807E13" w:rsidRPr="00CF1B0B" w:rsidRDefault="00807E13" w:rsidP="00807E13">
      <w:pPr>
        <w:tabs>
          <w:tab w:val="left" w:pos="700"/>
        </w:tabs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0B">
        <w:rPr>
          <w:rFonts w:ascii="Times New Roman" w:hAnsi="Times New Roman" w:cs="Times New Roman"/>
          <w:sz w:val="28"/>
          <w:szCs w:val="28"/>
        </w:rPr>
        <w:t xml:space="preserve">С начала года в области </w:t>
      </w:r>
      <w:proofErr w:type="gramStart"/>
      <w:r w:rsidRPr="00CF1B0B">
        <w:rPr>
          <w:rFonts w:ascii="Times New Roman" w:hAnsi="Times New Roman" w:cs="Times New Roman"/>
          <w:sz w:val="28"/>
          <w:szCs w:val="28"/>
        </w:rPr>
        <w:t>открыто и реконструировано</w:t>
      </w:r>
      <w:proofErr w:type="gramEnd"/>
      <w:r w:rsidRPr="00CF1B0B">
        <w:rPr>
          <w:rFonts w:ascii="Times New Roman" w:hAnsi="Times New Roman" w:cs="Times New Roman"/>
          <w:sz w:val="28"/>
          <w:szCs w:val="28"/>
        </w:rPr>
        <w:t xml:space="preserve"> 290 предприятий торговли, общественного питания и бытового обслуживания.</w:t>
      </w:r>
    </w:p>
    <w:p w:rsidR="00807E13" w:rsidRPr="00CF1B0B" w:rsidRDefault="00807E13" w:rsidP="00807E13">
      <w:pPr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0B">
        <w:rPr>
          <w:rFonts w:ascii="Times New Roman" w:hAnsi="Times New Roman" w:cs="Times New Roman"/>
          <w:sz w:val="28"/>
          <w:szCs w:val="28"/>
        </w:rPr>
        <w:t>Проведено</w:t>
      </w:r>
      <w:r w:rsidRPr="00CF1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>385</w:t>
      </w:r>
      <w:r w:rsidRPr="00CF1B0B">
        <w:rPr>
          <w:rFonts w:ascii="Times New Roman" w:hAnsi="Times New Roman" w:cs="Times New Roman"/>
          <w:sz w:val="28"/>
          <w:szCs w:val="28"/>
        </w:rPr>
        <w:t xml:space="preserve"> ярмарок-продаж, в том числе в рамках заключенных соглашений о сотрудничестве с другими регионами и государствами, а также договоров с местными товаропроизводителями.   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1B0B">
        <w:rPr>
          <w:rFonts w:ascii="Times New Roman" w:hAnsi="Times New Roman" w:cs="Times New Roman"/>
          <w:sz w:val="28"/>
          <w:szCs w:val="28"/>
        </w:rPr>
        <w:t>Оборот общественного питания в январе-ноябре 2019 года составил  6,2 млрд. рублей с ростом на 4,4 % к январю-ноябрю 2018 года.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1B0B">
        <w:rPr>
          <w:rFonts w:ascii="Times New Roman" w:hAnsi="Times New Roman" w:cs="Times New Roman"/>
          <w:color w:val="auto"/>
          <w:sz w:val="28"/>
          <w:szCs w:val="28"/>
        </w:rPr>
        <w:t>В Курской области в целях дальнейшего совершенствования торговой сферы деятельности реализуется Программа развития потребительского рынка Курской области на 2016-2020 годы.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1B0B">
        <w:rPr>
          <w:rFonts w:ascii="Times New Roman" w:hAnsi="Times New Roman" w:cs="Times New Roman"/>
          <w:color w:val="auto"/>
          <w:sz w:val="28"/>
          <w:szCs w:val="28"/>
        </w:rPr>
        <w:t>По оценке в 2019 году ожидается индекс физического объема оборота розничной торговли на уровне 101,9 %, оборота общественного питания –      103,5 %, объема платных услуг – 99,0 %.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F1B0B">
        <w:rPr>
          <w:rFonts w:ascii="Times New Roman" w:hAnsi="Times New Roman" w:cs="Times New Roman"/>
          <w:i/>
          <w:iCs/>
          <w:sz w:val="28"/>
          <w:szCs w:val="28"/>
        </w:rPr>
        <w:t>Индекс потребительских цен на товары и услуги</w:t>
      </w:r>
      <w:r w:rsidRPr="00CF1B0B">
        <w:rPr>
          <w:rFonts w:ascii="Times New Roman" w:hAnsi="Times New Roman" w:cs="Times New Roman"/>
          <w:sz w:val="28"/>
          <w:szCs w:val="28"/>
        </w:rPr>
        <w:t xml:space="preserve"> в ноябре 2019 года к декабрю 2018 года составил 102,82 % против</w:t>
      </w:r>
      <w:r w:rsidRPr="00CF1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1B0B">
        <w:rPr>
          <w:rFonts w:ascii="Times New Roman" w:hAnsi="Times New Roman" w:cs="Times New Roman"/>
          <w:sz w:val="28"/>
          <w:szCs w:val="28"/>
        </w:rPr>
        <w:t>104,62 % в ноябре 2018 года,</w:t>
      </w:r>
      <w:r w:rsidRPr="00CF1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1B0B">
        <w:rPr>
          <w:rFonts w:ascii="Times New Roman" w:hAnsi="Times New Roman" w:cs="Times New Roman"/>
          <w:sz w:val="28"/>
          <w:szCs w:val="28"/>
        </w:rPr>
        <w:t>в том числе на: продовольственные товары</w:t>
      </w:r>
      <w:r w:rsidRPr="00CF1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1B0B">
        <w:rPr>
          <w:rFonts w:ascii="Times New Roman" w:hAnsi="Times New Roman" w:cs="Times New Roman"/>
          <w:sz w:val="28"/>
          <w:szCs w:val="28"/>
        </w:rPr>
        <w:t>– 102,26 %</w:t>
      </w:r>
      <w:r w:rsidRPr="00CF1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1B0B">
        <w:rPr>
          <w:rFonts w:ascii="Times New Roman" w:hAnsi="Times New Roman" w:cs="Times New Roman"/>
          <w:sz w:val="28"/>
          <w:szCs w:val="28"/>
        </w:rPr>
        <w:t>(в ноябре 2018 года – 104,56 %),</w:t>
      </w:r>
      <w:r w:rsidRPr="00CF1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1B0B">
        <w:rPr>
          <w:rFonts w:ascii="Times New Roman" w:hAnsi="Times New Roman" w:cs="Times New Roman"/>
          <w:sz w:val="28"/>
          <w:szCs w:val="28"/>
        </w:rPr>
        <w:t>непродовольственные товары – 103,2 % (в  ноябре 2018 года – 104,57 %),</w:t>
      </w:r>
      <w:r w:rsidRPr="00CF1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1B0B">
        <w:rPr>
          <w:rFonts w:ascii="Times New Roman" w:hAnsi="Times New Roman" w:cs="Times New Roman"/>
          <w:sz w:val="28"/>
          <w:szCs w:val="28"/>
        </w:rPr>
        <w:t>платные услуги –</w:t>
      </w:r>
      <w:r w:rsidRPr="00CF1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1B0B">
        <w:rPr>
          <w:rFonts w:ascii="Times New Roman" w:hAnsi="Times New Roman" w:cs="Times New Roman"/>
          <w:sz w:val="28"/>
          <w:szCs w:val="28"/>
        </w:rPr>
        <w:t>103,24 % (в ноябре 2018 года – 104,74 %).</w:t>
      </w:r>
      <w:proofErr w:type="gramEnd"/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>По оценке 2019 года индекс цен на потребительские товары и услуги (декабрь к декабрю) ожидается на уровне 104,77 %.</w:t>
      </w:r>
    </w:p>
    <w:p w:rsidR="00807E13" w:rsidRPr="00CF1B0B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>В результате финансово-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>хозяйственной деятельности предприятиями и организациями Курской области за январь-сентябрь 2019 года получен</w:t>
      </w:r>
      <w:r w:rsidRPr="00CF1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положительный финансовый результат 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 xml:space="preserve">в сумме 73,7 млрд. рублей </w:t>
      </w:r>
      <w:r w:rsidR="00990C28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 xml:space="preserve">(138,5 % к январю-сентябрю 2018 года), в том числе прибыль прибыльных организаций составила 77,7 млрд. рублей (134,8 % к январю-сентябрю 2018 года). Доля прибыльных организаций в целом по области составила 72 % (за январь-сентябрь 2018 года – 72,6 %). 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F1B0B">
        <w:rPr>
          <w:rFonts w:ascii="Times New Roman" w:hAnsi="Times New Roman" w:cs="Times New Roman"/>
          <w:color w:val="auto"/>
          <w:sz w:val="28"/>
          <w:szCs w:val="28"/>
        </w:rPr>
        <w:t>Исходя из текущей ситуации в реальном секторе экономики области положительный финансовый результат деятельности организаций в целом по области в 2019 году оценивается</w:t>
      </w:r>
      <w:proofErr w:type="gramEnd"/>
      <w:r w:rsidRPr="00CF1B0B">
        <w:rPr>
          <w:rFonts w:ascii="Times New Roman" w:hAnsi="Times New Roman" w:cs="Times New Roman"/>
          <w:color w:val="auto"/>
          <w:sz w:val="28"/>
          <w:szCs w:val="28"/>
        </w:rPr>
        <w:t xml:space="preserve"> в сумме 102,7 млрд. рублей (114,4 % к 2018 году), в том числе прибыль прибыльных организаций – 108,9 млрд. рублей, что составит 107,2 % к уровню 2018 года. Положительная тенденция роста показателей в 2019 году обеспечена, в основном, увеличением прибыли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в «Добыче полезных ископаемых».  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1B0B">
        <w:rPr>
          <w:rFonts w:ascii="Times New Roman" w:hAnsi="Times New Roman" w:cs="Times New Roman"/>
          <w:i/>
          <w:color w:val="auto"/>
          <w:sz w:val="28"/>
          <w:szCs w:val="28"/>
        </w:rPr>
        <w:t>Среднемесячная начисленная заработная плата</w:t>
      </w:r>
      <w:r w:rsidRPr="00CF1B0B">
        <w:rPr>
          <w:rFonts w:ascii="Times New Roman" w:hAnsi="Times New Roman" w:cs="Times New Roman"/>
          <w:color w:val="auto"/>
          <w:sz w:val="28"/>
          <w:szCs w:val="28"/>
        </w:rPr>
        <w:t xml:space="preserve"> в январе-октябре 2019 года в целом по Курской области составила 31815,0 рублей с ростом на  8,3 % к январю-октябрю 2018 года; реальная заработная плата - с ростом на  2,5 % (в январе-октябре 2018 года - на 6,8 %).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6C8">
        <w:rPr>
          <w:rFonts w:ascii="Times New Roman" w:hAnsi="Times New Roman" w:cs="Times New Roman"/>
          <w:color w:val="auto"/>
          <w:sz w:val="28"/>
          <w:szCs w:val="28"/>
        </w:rPr>
        <w:t>По оценке 2019 года прогнозируется рост фонда начисленной заработной платы и среднемесячной номинальной начисленной заработной платы работников организаций на 7,9 % и 7,2 %, соответственно, к уровню 2018 года; среднесписочная численность работников организаций увеличится на 0,7 % к уровню 2018 года.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7E13" w:rsidRPr="00A652AF" w:rsidRDefault="00807E13" w:rsidP="00807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В целях улучшения </w:t>
      </w: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качества жизни населения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обеспечения прав работников на достойную оплату труда Администрацией Курской области ежегодно принимаются нормативные правовые акты, предусматривающие повышение уровня оплаты труда до установленных целевых показателей. </w:t>
      </w:r>
      <w:r w:rsidRPr="00A652AF">
        <w:rPr>
          <w:rFonts w:ascii="Times New Roman" w:hAnsi="Times New Roman" w:cs="Times New Roman"/>
          <w:sz w:val="28"/>
          <w:szCs w:val="28"/>
        </w:rPr>
        <w:t>В 2019 году работа по повышению уровня среднемесячной заработной платы проводится в рамках постановления Администрации Курской области от 14.05.2019 № 405-па.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i/>
          <w:color w:val="auto"/>
          <w:sz w:val="28"/>
          <w:szCs w:val="28"/>
        </w:rPr>
        <w:t>Ситуация на рынке труда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52AF">
        <w:rPr>
          <w:rFonts w:ascii="Times New Roman" w:hAnsi="Times New Roman" w:cs="Times New Roman"/>
          <w:sz w:val="28"/>
          <w:szCs w:val="28"/>
        </w:rPr>
        <w:t>области остается достаточно стабильной и предсказуемой. Реализуются мероприятия государственной программы Курской области «Содействие занятости населения в Курской области».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граждан, зарегистрированных в органах службы занятости, к концу 2019 года составит 4,55 тыс. человек. 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Уровень зарегистрированной безработицы 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>к экономически активному населению</w:t>
      </w:r>
      <w:r w:rsidRPr="00A652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01</w:t>
      </w:r>
      <w:r w:rsidRPr="007B06C8">
        <w:rPr>
          <w:rFonts w:ascii="Times New Roman" w:hAnsi="Times New Roman" w:cs="Times New Roman"/>
          <w:color w:val="auto"/>
          <w:sz w:val="28"/>
          <w:szCs w:val="28"/>
          <w:lang w:bidi="ar-SA"/>
        </w:rPr>
        <w:t>.12.2019 составил 0,57 %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A652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652AF">
        <w:rPr>
          <w:rFonts w:ascii="Times New Roman" w:hAnsi="Times New Roman" w:cs="Times New Roman"/>
          <w:color w:val="auto"/>
          <w:sz w:val="28"/>
          <w:szCs w:val="28"/>
        </w:rPr>
        <w:t>На 01.01.2020 показатель оценивается на уровне 0,79 % (на 01.01.2019 года - 0,69 %).</w:t>
      </w:r>
    </w:p>
    <w:p w:rsidR="00807E13" w:rsidRPr="00A652A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Уровень безработицы к экономически активному населению (по методологии МОТ) к концу 2019 года оценивается на уровне 4,0 %, что соответствует значению показателя </w:t>
      </w:r>
      <w:proofErr w:type="gramStart"/>
      <w:r w:rsidRPr="00A652AF">
        <w:rPr>
          <w:rFonts w:ascii="Times New Roman" w:hAnsi="Times New Roman" w:cs="Times New Roman"/>
          <w:color w:val="auto"/>
          <w:sz w:val="28"/>
          <w:szCs w:val="28"/>
        </w:rPr>
        <w:t>на конец</w:t>
      </w:r>
      <w:proofErr w:type="gramEnd"/>
      <w:r w:rsidRPr="00A652AF">
        <w:rPr>
          <w:rFonts w:ascii="Times New Roman" w:hAnsi="Times New Roman" w:cs="Times New Roman"/>
          <w:color w:val="auto"/>
          <w:sz w:val="28"/>
          <w:szCs w:val="28"/>
        </w:rPr>
        <w:t xml:space="preserve"> 2018 года. </w:t>
      </w:r>
    </w:p>
    <w:p w:rsidR="00807E13" w:rsidRPr="001D4D25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E13" w:rsidRPr="0029294F" w:rsidRDefault="00807E13" w:rsidP="00807E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4F">
        <w:rPr>
          <w:rFonts w:ascii="Times New Roman" w:hAnsi="Times New Roman" w:cs="Times New Roman"/>
          <w:b/>
          <w:sz w:val="28"/>
          <w:szCs w:val="28"/>
        </w:rPr>
        <w:t xml:space="preserve">2. Определение вариантов внутренних условий и характеристик </w:t>
      </w:r>
      <w:proofErr w:type="gramStart"/>
      <w:r w:rsidRPr="0029294F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  <w:r w:rsidRPr="0029294F">
        <w:rPr>
          <w:rFonts w:ascii="Times New Roman" w:hAnsi="Times New Roman" w:cs="Times New Roman"/>
          <w:b/>
          <w:sz w:val="28"/>
          <w:szCs w:val="28"/>
        </w:rPr>
        <w:t xml:space="preserve"> развития Курской области на долгосрочный период</w:t>
      </w:r>
    </w:p>
    <w:p w:rsidR="00807E13" w:rsidRPr="007B06C8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прогноза социально-экономического развития Курской области осуществлялась в трех вариантах с учетом изменений внутренних и внешних условий, тенденций развития </w:t>
      </w:r>
      <w:proofErr w:type="gramStart"/>
      <w:r w:rsidRPr="009765E6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proofErr w:type="gramEnd"/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экономики, а </w:t>
      </w:r>
      <w:r w:rsidRPr="007B06C8">
        <w:rPr>
          <w:rFonts w:ascii="Times New Roman" w:hAnsi="Times New Roman" w:cs="Times New Roman"/>
          <w:color w:val="auto"/>
          <w:sz w:val="28"/>
          <w:szCs w:val="28"/>
        </w:rPr>
        <w:t>также итогов социально-экономического развития Курской области за 2018 год, 11 месяцев 2019 года.</w:t>
      </w:r>
    </w:p>
    <w:p w:rsidR="00807E13" w:rsidRPr="009765E6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6C8">
        <w:rPr>
          <w:rFonts w:ascii="Times New Roman" w:hAnsi="Times New Roman" w:cs="Times New Roman"/>
          <w:color w:val="auto"/>
          <w:sz w:val="28"/>
          <w:szCs w:val="28"/>
        </w:rPr>
        <w:t>Параметры внешней среды для развития Курской области определяются тенденциями развития российской экономики и внешнеэкономическими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условиями. Внутренние факторы связаны с особенностями экономического развития области и спецификой стоящих перед ней целей и задач.</w:t>
      </w:r>
    </w:p>
    <w:p w:rsidR="00807E13" w:rsidRPr="00D24D54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4D54">
        <w:rPr>
          <w:rFonts w:ascii="Times New Roman" w:hAnsi="Times New Roman" w:cs="Times New Roman"/>
          <w:color w:val="auto"/>
          <w:sz w:val="28"/>
          <w:szCs w:val="28"/>
        </w:rPr>
        <w:t>Тенденции развития экономики Российской Федерации изложены в сценарных условиях, основных параметрах прогноза социально-экономического развития Российской Федерации на период до 2024 года</w:t>
      </w:r>
      <w:r>
        <w:rPr>
          <w:rFonts w:ascii="Times New Roman" w:hAnsi="Times New Roman" w:cs="Times New Roman"/>
          <w:color w:val="auto"/>
          <w:sz w:val="28"/>
          <w:szCs w:val="28"/>
        </w:rPr>
        <w:t>, разработанных Министерством экономического развития Российской Федерации</w:t>
      </w:r>
      <w:r w:rsidRPr="00D24D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7E13" w:rsidRPr="00D62C2A" w:rsidRDefault="00807E13" w:rsidP="00807E1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2C2A"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 xml:space="preserve">В целом по текущему году ожидается, что экономика страны покажет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рост на уровне </w:t>
      </w:r>
      <w:r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1,3 %,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конец года </w:t>
      </w:r>
      <w:r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инфляция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составит</w:t>
      </w:r>
      <w:r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4,3 %.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2020 году ожидается ускорение роста экономики до 2 %, а начиная с 2021 года – до уровня выше 3 %.</w:t>
      </w:r>
    </w:p>
    <w:p w:rsidR="00807E13" w:rsidRPr="00423696" w:rsidRDefault="00807E13" w:rsidP="00807E1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236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Начиная с 2020 года главным фактором экономического роста станет</w:t>
      </w:r>
      <w:proofErr w:type="gramEnd"/>
      <w:r w:rsidRPr="004236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повышение темпов роста инвестиций в основной капитал.</w:t>
      </w:r>
    </w:p>
    <w:p w:rsidR="00807E13" w:rsidRDefault="00807E13" w:rsidP="00807E1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23696">
        <w:rPr>
          <w:rFonts w:ascii="Times New Roman" w:hAnsi="Times New Roman" w:cs="Times New Roman"/>
          <w:color w:val="auto"/>
          <w:sz w:val="28"/>
          <w:szCs w:val="28"/>
          <w:lang w:bidi="ar-SA"/>
        </w:rPr>
        <w:t>В 2021-2022 гг. ускорение темпов экономического роста до 3,1</w:t>
      </w:r>
      <w:r w:rsidR="00B33B80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Pr="0042369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3,2 % будет происходить на фоне повышения как внутреннего, так и внешнего спроса на российскую продукцию. </w:t>
      </w:r>
    </w:p>
    <w:p w:rsidR="00807E13" w:rsidRPr="0042369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96">
        <w:rPr>
          <w:rFonts w:ascii="Times New Roman" w:hAnsi="Times New Roman" w:cs="Times New Roman"/>
          <w:sz w:val="28"/>
          <w:szCs w:val="28"/>
        </w:rPr>
        <w:t>В результате реализации комплекса мер, направленных на решение задач, поставленных Указом 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7 мая 2018 года  </w:t>
      </w:r>
      <w:r w:rsidRPr="00423696">
        <w:rPr>
          <w:rFonts w:ascii="Times New Roman" w:hAnsi="Times New Roman" w:cs="Times New Roman"/>
          <w:sz w:val="28"/>
          <w:szCs w:val="28"/>
        </w:rPr>
        <w:t xml:space="preserve">№ 204, в прогнозном периоде ожидается ускорение роста практически по всем видам деятельности. Наибольший вклад в прирост </w:t>
      </w:r>
      <w:r>
        <w:rPr>
          <w:rFonts w:ascii="Times New Roman" w:hAnsi="Times New Roman" w:cs="Times New Roman"/>
          <w:sz w:val="28"/>
          <w:szCs w:val="28"/>
        </w:rPr>
        <w:t xml:space="preserve">валового внутреннего продукта </w:t>
      </w:r>
      <w:r w:rsidRPr="00423696">
        <w:rPr>
          <w:rFonts w:ascii="Times New Roman" w:hAnsi="Times New Roman" w:cs="Times New Roman"/>
          <w:sz w:val="28"/>
          <w:szCs w:val="28"/>
        </w:rPr>
        <w:t xml:space="preserve"> будут вносить наиболее приоритетные виды экономической деятельности: обрабатывающие производства, строительство, деятельность, направленная на развитие человеческого капитала (профессиональная, научная и техническая, образование и здравоохранение), деятельность по операциям с недвижимым имуществом, оптовая и розничная торговля.  </w:t>
      </w:r>
    </w:p>
    <w:p w:rsidR="00807E13" w:rsidRPr="009C2CD3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CD3">
        <w:rPr>
          <w:rFonts w:ascii="Times New Roman" w:hAnsi="Times New Roman" w:cs="Times New Roman"/>
          <w:color w:val="auto"/>
          <w:sz w:val="28"/>
          <w:szCs w:val="28"/>
        </w:rPr>
        <w:t>При формировании сценариев социально-экономического развития Курской области учтены тенденции, взаимосвязи между показателями социально-экономического развития области.</w:t>
      </w:r>
    </w:p>
    <w:p w:rsidR="00807E13" w:rsidRPr="00B8240D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4288">
        <w:rPr>
          <w:rFonts w:ascii="Times New Roman" w:hAnsi="Times New Roman" w:cs="Times New Roman"/>
          <w:i/>
          <w:color w:val="auto"/>
          <w:sz w:val="28"/>
          <w:szCs w:val="28"/>
        </w:rPr>
        <w:t>Базовый вариант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характеризует основные тенденции и параметры развития экономики в условиях консервативных ожиданий изменения внешних и внутренних факторов при сохранении бюджетной политики, в том числе в части социальных обязательств государства; его можно охарактеризовать как умеренно-оптимистический.</w:t>
      </w:r>
    </w:p>
    <w:p w:rsidR="00807E13" w:rsidRPr="00B8240D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>Вариант предполагает сохранение инвестиционной направленности роста экономики. Инновационная составляющая технологического обновления традиционных отраслей будет базироваться преимущественно на развитии уже сложившегося научно-образовательного потенциала области.</w:t>
      </w:r>
    </w:p>
    <w:p w:rsidR="00807E13" w:rsidRPr="00B8240D" w:rsidRDefault="00807E13" w:rsidP="00807E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Развитие Курской области в данном варианте </w:t>
      </w:r>
      <w:proofErr w:type="gramStart"/>
      <w:r w:rsidRPr="00B8240D">
        <w:rPr>
          <w:rFonts w:ascii="Times New Roman" w:hAnsi="Times New Roman" w:cs="Times New Roman"/>
          <w:color w:val="auto"/>
          <w:sz w:val="28"/>
          <w:szCs w:val="28"/>
        </w:rPr>
        <w:t>будет происходить на основании сложившихся социально-экономических тенденций в регионе и предполагает</w:t>
      </w:r>
      <w:proofErr w:type="gramEnd"/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умеренный рост экономики. </w:t>
      </w:r>
    </w:p>
    <w:p w:rsidR="00807E13" w:rsidRPr="00B8240D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>Базовый сценарий развития представляется наиболее вероятным для реализации. Это связано с тем, что есть все предпосылки для дальнейшего развития базовых отраслей экономики региона за счёт реализации важных инвестиционных проектов.</w:t>
      </w:r>
    </w:p>
    <w:p w:rsidR="00807E13" w:rsidRPr="00B8240D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>Корпорация «</w:t>
      </w:r>
      <w:proofErr w:type="spellStart"/>
      <w:r w:rsidRPr="00B8240D">
        <w:rPr>
          <w:rFonts w:ascii="Times New Roman" w:hAnsi="Times New Roman" w:cs="Times New Roman"/>
          <w:color w:val="auto"/>
          <w:sz w:val="28"/>
          <w:szCs w:val="28"/>
        </w:rPr>
        <w:t>Росатом</w:t>
      </w:r>
      <w:proofErr w:type="spellEnd"/>
      <w:r w:rsidRPr="00B8240D">
        <w:rPr>
          <w:rFonts w:ascii="Times New Roman" w:hAnsi="Times New Roman" w:cs="Times New Roman"/>
          <w:color w:val="auto"/>
          <w:sz w:val="28"/>
          <w:szCs w:val="28"/>
        </w:rPr>
        <w:t>» продолжит реализацию проекта по строительству станции замещения АЭС-2. Это станет важным катализатором для развития других отраслей экономики, создаст новые рабочие места, в том числе временные на период строительства.</w:t>
      </w:r>
    </w:p>
    <w:p w:rsidR="00807E13" w:rsidRPr="00B8240D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Продолжится развитие ПАО «Михайловский ГОК» за счёт реализации инвестиционных проектов, которые позволят нарастить объёмы производства и оптимизировать издержки. </w:t>
      </w:r>
    </w:p>
    <w:p w:rsidR="00807E13" w:rsidRPr="00B8240D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В целях диверсификации структуры промышленности на основе опережающего развития обрабатывающих производств будет продолжена реализация </w:t>
      </w:r>
      <w:r w:rsidRPr="00F90F5C">
        <w:rPr>
          <w:rFonts w:ascii="Times New Roman" w:hAnsi="Times New Roman" w:cs="Times New Roman"/>
          <w:color w:val="auto"/>
          <w:sz w:val="28"/>
          <w:szCs w:val="28"/>
        </w:rPr>
        <w:t>проектов в производстве пищевых продуктов, лекарственных средств и материалов, производстве резиновых и пластмассовых изделий, химических веществ и химических продуктов, производстве электрического оборудования и др. Продолжится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</w:t>
      </w:r>
      <w:proofErr w:type="spellStart"/>
      <w:r w:rsidRPr="00B8240D">
        <w:rPr>
          <w:rFonts w:ascii="Times New Roman" w:hAnsi="Times New Roman" w:cs="Times New Roman"/>
          <w:color w:val="auto"/>
          <w:sz w:val="28"/>
          <w:szCs w:val="28"/>
        </w:rPr>
        <w:t>импортозамещению</w:t>
      </w:r>
      <w:proofErr w:type="spellEnd"/>
      <w:r w:rsidRPr="00B8240D">
        <w:rPr>
          <w:rFonts w:ascii="Times New Roman" w:hAnsi="Times New Roman" w:cs="Times New Roman"/>
          <w:color w:val="auto"/>
          <w:sz w:val="28"/>
          <w:szCs w:val="28"/>
        </w:rPr>
        <w:t>, что также обеспечит положительную динамику развития данных производств.</w:t>
      </w:r>
    </w:p>
    <w:p w:rsidR="00807E13" w:rsidRPr="00A81C17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Хорошие перспективы есть у предприятий пищевой промышленности. Активно участвуя в программе </w:t>
      </w:r>
      <w:proofErr w:type="spellStart"/>
      <w:r w:rsidRPr="00B8240D">
        <w:rPr>
          <w:rFonts w:ascii="Times New Roman" w:hAnsi="Times New Roman" w:cs="Times New Roman"/>
          <w:color w:val="auto"/>
          <w:sz w:val="28"/>
          <w:szCs w:val="28"/>
        </w:rPr>
        <w:t>импортозамещения</w:t>
      </w:r>
      <w:proofErr w:type="spellEnd"/>
      <w:r w:rsidRPr="00B8240D">
        <w:rPr>
          <w:rFonts w:ascii="Times New Roman" w:hAnsi="Times New Roman" w:cs="Times New Roman"/>
          <w:color w:val="auto"/>
          <w:sz w:val="28"/>
          <w:szCs w:val="28"/>
        </w:rPr>
        <w:t>, они реализуют инвестиционные проекты, нацеленные на производство новых видов продукции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7E13" w:rsidRPr="00B8240D" w:rsidRDefault="00807E13" w:rsidP="00807E13">
      <w:pPr>
        <w:pStyle w:val="35"/>
        <w:spacing w:after="0"/>
        <w:ind w:left="0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sz w:val="28"/>
          <w:szCs w:val="28"/>
        </w:rPr>
        <w:t>Базовый вариант прогноза агропромышленного комплекса предполагает, что развитие будет осуществляться в относительно благоприятных условиях, что позволит в большей степени использовать имеющийся потенциал, в том числе в рамках развития действующего производства и реализации инвестиционных проектов в отрасли. С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овокупность мероприятий по развитию агропромышленного комплекса, реализуемых Правительством Российской Федерации в последние годы, будет способствовать интенсификации производства, улучшению количественных и   качественных показателей отрасли, что, в свою очередь, </w:t>
      </w:r>
      <w:proofErr w:type="gramStart"/>
      <w:r w:rsidRPr="00B8240D">
        <w:rPr>
          <w:rFonts w:ascii="Times New Roman" w:hAnsi="Times New Roman" w:cs="Times New Roman"/>
          <w:color w:val="auto"/>
          <w:sz w:val="28"/>
          <w:szCs w:val="28"/>
        </w:rPr>
        <w:t>отразится на конкурентоспособности продукции для обеспечения населения качественной продукцией и</w:t>
      </w:r>
      <w:proofErr w:type="gramEnd"/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будет способствовать выходу отечественной продукции на зарубежные рынки сбыта.</w:t>
      </w:r>
    </w:p>
    <w:p w:rsidR="00807E13" w:rsidRPr="00331FF2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В 2020 году по базовому </w:t>
      </w:r>
      <w:r w:rsidRPr="004B704A">
        <w:rPr>
          <w:rFonts w:ascii="Times New Roman" w:hAnsi="Times New Roman" w:cs="Times New Roman"/>
          <w:color w:val="auto"/>
          <w:sz w:val="28"/>
          <w:szCs w:val="28"/>
        </w:rPr>
        <w:t>варианту ВРП прогнозируется на уровне 101,5 %, в 2021 году – 101,2 %, в 2030 году – 103,1 %.</w:t>
      </w:r>
      <w:r w:rsidRPr="00331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7E13" w:rsidRPr="00D8690E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4288">
        <w:rPr>
          <w:rFonts w:ascii="Times New Roman" w:hAnsi="Times New Roman" w:cs="Times New Roman"/>
          <w:i/>
          <w:color w:val="auto"/>
          <w:sz w:val="28"/>
          <w:szCs w:val="28"/>
        </w:rPr>
        <w:t>Консервативный вариант</w:t>
      </w:r>
      <w:r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развитие экономики в условиях консервативных оценок темпов экономического роста с учетом существенного ухудшения внешнеэкономических и иных условий. Данный вариант развития экономики Курской области является наихудшим из трех вариантов. </w:t>
      </w:r>
    </w:p>
    <w:p w:rsidR="00807E13" w:rsidRPr="00D8690E" w:rsidRDefault="00807E13" w:rsidP="00807E1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При консервативном варианте возможно сохранение экономических санкций и прочих ограничений в целом для страны, связанных с экономико-политической обстановкой в мире, которые могут повлиять на доступ предприятий к передовым технологиям зарубежных компаний. </w:t>
      </w:r>
    </w:p>
    <w:p w:rsidR="00807E13" w:rsidRPr="00D8690E" w:rsidRDefault="00807E13" w:rsidP="00807E13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690E">
        <w:rPr>
          <w:rFonts w:ascii="Times New Roman" w:hAnsi="Times New Roman" w:cs="Times New Roman"/>
          <w:color w:val="auto"/>
          <w:sz w:val="28"/>
          <w:szCs w:val="28"/>
        </w:rPr>
        <w:t>Вариант предполагает более низкие темпы экономического роста и сдержанную инвестиционную активность, ухудшение настроений экономических агентов, меньшие темпы роста прибыли организаций. Данный сценарий отражает развитие экономики в условиях замедления внутреннего спроса.</w:t>
      </w:r>
    </w:p>
    <w:p w:rsidR="00807E13" w:rsidRPr="00E75250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250">
        <w:rPr>
          <w:rFonts w:ascii="Times New Roman" w:hAnsi="Times New Roman" w:cs="Times New Roman"/>
          <w:color w:val="auto"/>
          <w:sz w:val="28"/>
          <w:szCs w:val="28"/>
        </w:rPr>
        <w:t>Внешние стимулы для роста также невысоки, внутренние будут ограничиваться невысокими темпами роста доходов населения и старением основных производственных фондов.</w:t>
      </w:r>
    </w:p>
    <w:p w:rsidR="00807E13" w:rsidRPr="00E75250" w:rsidRDefault="00807E13" w:rsidP="00807E13">
      <w:pPr>
        <w:pStyle w:val="35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250">
        <w:rPr>
          <w:rFonts w:ascii="Times New Roman" w:hAnsi="Times New Roman" w:cs="Times New Roman"/>
          <w:sz w:val="28"/>
          <w:szCs w:val="28"/>
        </w:rPr>
        <w:t xml:space="preserve">Консервативный вариант прогноза развития агропромышленного комплекса предполагает, что возможности развития сельскохозяйственных товаропроизводителей будут ограничены за счет неблагоприятного влияния факторов внешней среды. Неблагоприятные условия рыночной конъюнктуры, недофинансирование отрасли, обусловленное, в том числе </w:t>
      </w:r>
      <w:proofErr w:type="spellStart"/>
      <w:r w:rsidRPr="00E75250">
        <w:rPr>
          <w:rFonts w:ascii="Times New Roman" w:hAnsi="Times New Roman" w:cs="Times New Roman"/>
          <w:sz w:val="28"/>
          <w:szCs w:val="28"/>
        </w:rPr>
        <w:t>закредитованностью</w:t>
      </w:r>
      <w:proofErr w:type="spellEnd"/>
      <w:r w:rsidRPr="00E75250">
        <w:rPr>
          <w:rFonts w:ascii="Times New Roman" w:hAnsi="Times New Roman" w:cs="Times New Roman"/>
          <w:sz w:val="28"/>
          <w:szCs w:val="28"/>
        </w:rPr>
        <w:t xml:space="preserve"> хозяйствующих субъектов, могут привести к ухудшению финансового состояния ряда предприятий и приостановке реализации ряда инвестиционных проектов. </w:t>
      </w:r>
    </w:p>
    <w:p w:rsidR="00807E13" w:rsidRPr="004B704A" w:rsidRDefault="00807E13" w:rsidP="00807E13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345">
        <w:rPr>
          <w:rFonts w:ascii="Times New Roman" w:hAnsi="Times New Roman" w:cs="Times New Roman"/>
          <w:color w:val="auto"/>
          <w:sz w:val="28"/>
          <w:szCs w:val="28"/>
        </w:rPr>
        <w:t xml:space="preserve">В случае развития экономики Курской области по данному сценарию в 2020 году ВРП прогнозируется </w:t>
      </w:r>
      <w:r w:rsidRPr="004B704A">
        <w:rPr>
          <w:rFonts w:ascii="Times New Roman" w:hAnsi="Times New Roman" w:cs="Times New Roman"/>
          <w:color w:val="auto"/>
          <w:sz w:val="28"/>
          <w:szCs w:val="28"/>
        </w:rPr>
        <w:t xml:space="preserve">на уровне 100,7 %, в 2021 году – 100,9 %, в 2030 году – 102,8 %. </w:t>
      </w:r>
    </w:p>
    <w:p w:rsidR="00807E13" w:rsidRPr="00D8690E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04A">
        <w:rPr>
          <w:rFonts w:ascii="Times New Roman" w:hAnsi="Times New Roman" w:cs="Times New Roman"/>
          <w:i/>
          <w:color w:val="auto"/>
          <w:sz w:val="28"/>
          <w:szCs w:val="28"/>
        </w:rPr>
        <w:t>Целевой вариант</w:t>
      </w:r>
      <w:r w:rsidRPr="004B704A">
        <w:rPr>
          <w:rFonts w:ascii="Times New Roman" w:hAnsi="Times New Roman" w:cs="Times New Roman"/>
          <w:color w:val="auto"/>
          <w:sz w:val="28"/>
          <w:szCs w:val="28"/>
        </w:rPr>
        <w:t xml:space="preserve"> ориентирует</w:t>
      </w:r>
      <w:r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 регион на достижение целевых показателей социально-экономического развития и решение задач стратегического планирования. Данный вариант прогноза основан на активизации социально-экономического развития, учитывающего достижение целей и задач стратегического планирования при консервативных внешнеэкономических условиях.</w:t>
      </w:r>
    </w:p>
    <w:p w:rsidR="00807E13" w:rsidRPr="009F6D91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D91">
        <w:rPr>
          <w:rFonts w:ascii="Times New Roman" w:hAnsi="Times New Roman" w:cs="Times New Roman"/>
          <w:color w:val="auto"/>
          <w:sz w:val="28"/>
          <w:szCs w:val="28"/>
        </w:rPr>
        <w:t>Вариант характеризуется более высокими темпами роста экономики, роста ее конкурентоспособности, повышением инвестиционной активности бизнеса, развитием высокотехнологичных отраслей, восстановлением потребительской активности населения, ростом реальной заработной платы и реальных денежных доходов населения.</w:t>
      </w:r>
    </w:p>
    <w:p w:rsidR="00807E13" w:rsidRPr="009F6D91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D91">
        <w:rPr>
          <w:rFonts w:ascii="Times New Roman" w:hAnsi="Times New Roman" w:cs="Times New Roman"/>
          <w:color w:val="auto"/>
          <w:sz w:val="28"/>
          <w:szCs w:val="28"/>
        </w:rPr>
        <w:t>Развитие научно-инновационной сферы Курской области будет направлено на решение таких приоритетных задач как повышение инновационной активности бизнеса и ускорение появления новых инновационных компаний; внедрение цифровых технологий; формирование устойчиво развивающегося сектора исследований и разработок; развитие кадрового потенциала в сфере науки, образования, технологий и инноваций.</w:t>
      </w:r>
    </w:p>
    <w:p w:rsidR="00807E13" w:rsidRPr="009F6D91" w:rsidRDefault="00807E13" w:rsidP="00807E13">
      <w:pPr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Ожидается реализация всех запланированных мероприятий, инвестиционных проектов в полном объеме и в установленные сроки, в том числе важнейших в социальной сфере. </w:t>
      </w:r>
    </w:p>
    <w:p w:rsidR="00807E13" w:rsidRPr="009F6D91" w:rsidRDefault="00807E13" w:rsidP="00807E13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Внешние условия в целевом сценарии сохраняются на уровне базового сценария, при этом предполагается разработка и реализация ряда мер экономической политики, направленных на обеспечение инвестиционной ориентации экономики, повышение инвестиционной активности частного капитала; государственную поддержку </w:t>
      </w:r>
      <w:proofErr w:type="spellStart"/>
      <w:r w:rsidRPr="009F6D91">
        <w:rPr>
          <w:rFonts w:ascii="Times New Roman" w:hAnsi="Times New Roman" w:cs="Times New Roman"/>
          <w:color w:val="auto"/>
          <w:sz w:val="28"/>
          <w:szCs w:val="28"/>
        </w:rPr>
        <w:t>системообразующих</w:t>
      </w:r>
      <w:proofErr w:type="spellEnd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и эффективных инвестиционных проектов; опережающий рост инвестиций в инновационные сектора экономики; увеличение вложений и расширение форм поддержки секторов, ориентированных на </w:t>
      </w:r>
      <w:proofErr w:type="spellStart"/>
      <w:r w:rsidRPr="009F6D91">
        <w:rPr>
          <w:rFonts w:ascii="Times New Roman" w:hAnsi="Times New Roman" w:cs="Times New Roman"/>
          <w:color w:val="auto"/>
          <w:sz w:val="28"/>
          <w:szCs w:val="28"/>
        </w:rPr>
        <w:t>несырьевой</w:t>
      </w:r>
      <w:proofErr w:type="spellEnd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и высокотехнологичный экспорт;</w:t>
      </w:r>
      <w:proofErr w:type="gramEnd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содействие развитию </w:t>
      </w:r>
      <w:proofErr w:type="spellStart"/>
      <w:r w:rsidRPr="009F6D91">
        <w:rPr>
          <w:rFonts w:ascii="Times New Roman" w:hAnsi="Times New Roman" w:cs="Times New Roman"/>
          <w:color w:val="auto"/>
          <w:sz w:val="28"/>
          <w:szCs w:val="28"/>
        </w:rPr>
        <w:t>импортозамещения</w:t>
      </w:r>
      <w:proofErr w:type="spellEnd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по критическим направлениям импорта; максимальное сокращение неэффективных издержек и затрат. </w:t>
      </w:r>
    </w:p>
    <w:p w:rsidR="00807E13" w:rsidRPr="009F6D91" w:rsidRDefault="00807E13" w:rsidP="00807E13">
      <w:pPr>
        <w:pStyle w:val="af"/>
        <w:spacing w:after="0"/>
        <w:ind w:left="0" w:firstLine="709"/>
        <w:jc w:val="both"/>
        <w:outlineLvl w:val="0"/>
        <w:rPr>
          <w:sz w:val="28"/>
          <w:szCs w:val="28"/>
        </w:rPr>
      </w:pPr>
      <w:r w:rsidRPr="009F6D91">
        <w:rPr>
          <w:sz w:val="28"/>
          <w:szCs w:val="28"/>
        </w:rPr>
        <w:t>Освоение инвестиций по целевому сценарию будет связано со строительством объектов Курской АЭС-2, реализацией инвестиционных проектов ПАО «Михайловский ГОК», инвестиционных проектов в сфере агропромышленного комплекса, социальной сфере; более масштабной технологической модернизацией промышленных предприятий области. Планируется дальнейшее освоение инновационных видов продукции,  внедрение  прогрессивных методов возделывания сельскохозяйственных культур с применением интенсивных и инновационных технологий, направленных на качество производимой продукции.</w:t>
      </w:r>
    </w:p>
    <w:p w:rsidR="00807E13" w:rsidRPr="009F6D91" w:rsidRDefault="00807E13" w:rsidP="00807E13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D91">
        <w:rPr>
          <w:rFonts w:ascii="Times New Roman" w:hAnsi="Times New Roman" w:cs="Times New Roman"/>
          <w:color w:val="auto"/>
          <w:sz w:val="28"/>
          <w:szCs w:val="28"/>
        </w:rPr>
        <w:t>Вместе с тем, учитывая длительность инвестиционного цикла, значимый экономический эффект от реализации проектов ожидается в последующие годы.</w:t>
      </w:r>
    </w:p>
    <w:p w:rsidR="00807E13" w:rsidRPr="00CD0AC7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04A">
        <w:rPr>
          <w:rFonts w:ascii="Times New Roman" w:hAnsi="Times New Roman" w:cs="Times New Roman"/>
          <w:color w:val="auto"/>
          <w:sz w:val="28"/>
          <w:szCs w:val="28"/>
        </w:rPr>
        <w:t>Реализация указанных мер позволит обеспечить увеличение темпов роста ВРП по целевому сценарию до 102,1 % в 2020 году, до 101,4 % - в 2021 году и до 103,3 % - в 2030 году</w:t>
      </w:r>
      <w:r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07E13" w:rsidRPr="001D4D25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D5">
        <w:rPr>
          <w:rFonts w:ascii="Times New Roman" w:hAnsi="Times New Roman" w:cs="Times New Roman"/>
          <w:b/>
          <w:sz w:val="28"/>
          <w:szCs w:val="28"/>
        </w:rPr>
        <w:t>3. Оценка факторов и ограничений экономического роста Курской области на долгосрочный период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>Курская область является стратегически важным регионом России, обладающим рядом конкурентных преимуществ, которые являются факторами экономического роста Курской области, в том числе: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 xml:space="preserve">1. Удобное географическое положение в благоприятной климатической зоне, свободной от природных стихийных бедствий и позволяющей вести интенсивное земледелие и животноводство. 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 xml:space="preserve">Территория области </w:t>
      </w:r>
      <w:proofErr w:type="gramStart"/>
      <w:r w:rsidRPr="007950D5">
        <w:rPr>
          <w:rFonts w:ascii="Times New Roman" w:hAnsi="Times New Roman" w:cs="Times New Roman"/>
          <w:color w:val="auto"/>
          <w:sz w:val="28"/>
          <w:szCs w:val="28"/>
        </w:rPr>
        <w:t>занимает площадь 30 тысяч квадратных километров и расположена</w:t>
      </w:r>
      <w:proofErr w:type="gramEnd"/>
      <w:r w:rsidRPr="007950D5">
        <w:rPr>
          <w:rFonts w:ascii="Times New Roman" w:hAnsi="Times New Roman" w:cs="Times New Roman"/>
          <w:color w:val="auto"/>
          <w:sz w:val="28"/>
          <w:szCs w:val="28"/>
        </w:rPr>
        <w:t xml:space="preserve"> на пересечении важнейших транспортных и торговых путей России, соединяющих запад и восток, север и юг. 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D5">
        <w:rPr>
          <w:rFonts w:ascii="Times New Roman" w:hAnsi="Times New Roman" w:cs="Times New Roman"/>
          <w:sz w:val="28"/>
          <w:szCs w:val="28"/>
        </w:rPr>
        <w:t xml:space="preserve">2. На территории Курской области развита сеть железнодорожных и автомобильных магистралей. Московская и Юго-Восточная железные дороги - филиалы ОАО «Российские железные дороги», работающие  на территории области,  связывают областной центр - город Курск с городами Москва, Воронеж, Белгород  и другими крупными городами Российской Федерации.  Расположены три крупных железнодорожных узла: Курск, Льгов, Касторная. 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D5">
        <w:rPr>
          <w:rFonts w:ascii="Times New Roman" w:hAnsi="Times New Roman" w:cs="Times New Roman"/>
          <w:sz w:val="28"/>
          <w:szCs w:val="28"/>
        </w:rPr>
        <w:t>По территории области проходят автомобильные трассы федерального значения: М-2 Москва – Курск – Белгород  и  А-144 Москва – Курск – Воронеж – Борисоглебск.</w:t>
      </w:r>
    </w:p>
    <w:p w:rsidR="00807E13" w:rsidRPr="007950D5" w:rsidRDefault="00807E13" w:rsidP="00807E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Через территорию Курской области проходят магистральные </w:t>
      </w:r>
      <w:proofErr w:type="spellStart"/>
      <w:r w:rsidRPr="007950D5">
        <w:rPr>
          <w:rFonts w:ascii="Times New Roman" w:eastAsia="Times New Roman" w:hAnsi="Times New Roman" w:cs="Times New Roman"/>
          <w:sz w:val="28"/>
          <w:szCs w:val="28"/>
          <w:lang w:bidi="ar-SA"/>
        </w:rPr>
        <w:t>нефт</w:t>
      </w:r>
      <w:proofErr w:type="gramStart"/>
      <w:r w:rsidRPr="007950D5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proofErr w:type="spellEnd"/>
      <w:r w:rsidRPr="007950D5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proofErr w:type="gramEnd"/>
      <w:r w:rsidRPr="007950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газопроводы.</w:t>
      </w:r>
    </w:p>
    <w:p w:rsidR="00807E13" w:rsidRPr="007950D5" w:rsidRDefault="00807E13" w:rsidP="00807E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sz w:val="28"/>
          <w:szCs w:val="28"/>
          <w:lang w:bidi="ar-SA"/>
        </w:rPr>
        <w:t>Воздушное сообщение осуществляется через терминалы Курского аэропорта, имеющего международный статус.</w:t>
      </w:r>
    </w:p>
    <w:p w:rsidR="00807E13" w:rsidRPr="007950D5" w:rsidRDefault="00807E13" w:rsidP="00807E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3. </w:t>
      </w:r>
      <w:proofErr w:type="spellStart"/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Энергообеспеченность</w:t>
      </w:r>
      <w:proofErr w:type="spellEnd"/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7950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Регион обладает высокой </w:t>
      </w:r>
      <w:proofErr w:type="spellStart"/>
      <w:r w:rsidRPr="007950D5">
        <w:rPr>
          <w:rFonts w:ascii="Times New Roman" w:eastAsia="Times New Roman" w:hAnsi="Times New Roman" w:cs="Times New Roman"/>
          <w:sz w:val="28"/>
          <w:szCs w:val="28"/>
          <w:lang w:bidi="ar-SA"/>
        </w:rPr>
        <w:t>энергообеспеченностью</w:t>
      </w:r>
      <w:proofErr w:type="spellEnd"/>
      <w:r w:rsidRPr="007950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наличием резервов электроэнергетических мощностей за счет работы Курской АЭС.</w:t>
      </w:r>
      <w:r w:rsidRPr="007950D5"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  <w:t xml:space="preserve"> </w:t>
      </w:r>
    </w:p>
    <w:p w:rsidR="00807E13" w:rsidRPr="007950D5" w:rsidRDefault="00807E13" w:rsidP="00807E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 Богатейшие запасы полезных ископаемых и плодородные почвы. Курская область расположена в центре Курской железорудной  провинции, известной как Курская магнитная аномалия, обеспечивая сырьем российскую и зарубежную металлургию. Регион обладает уникальным богатством - большими запасами черноземов (около 80 % земельных угодий). Благоприятные природно-климатические условия, наличие территорий для эффективного ведения сельского хозяйства позволяют обеспечивать экологически чистыми продуктами питания не только  население Курской области, но и других субъектов Российской Федерации.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>5. Развитые торговые сети, в том числе региональные.</w:t>
      </w:r>
    </w:p>
    <w:p w:rsidR="00807E13" w:rsidRPr="007950D5" w:rsidRDefault="00807E13" w:rsidP="00807E1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 xml:space="preserve">6. Курская область – один из промышленно развитых регионов России. Многоотраслевой хозяйственный комплекс, обеспеченность собственной электроэнергией способствуют созданию благоприятных условий для развития бизнеса. В области успешно развиваются фармацевтическая, пищевая, химическая и резинотехническая промышленность, электротехническая и машиностроительная отрасли. </w:t>
      </w:r>
    </w:p>
    <w:p w:rsidR="00807E13" w:rsidRPr="007950D5" w:rsidRDefault="00807E13" w:rsidP="00807E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Область обладает развитой инфраструктурой социальной сферы, достаточно развитым интеллектуальным и инновационным потенциалом, который складывается из совокупности научно-технического потенциала вузов, предприятий. </w:t>
      </w:r>
    </w:p>
    <w:p w:rsidR="00807E13" w:rsidRPr="007950D5" w:rsidRDefault="00807E13" w:rsidP="00807E1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Курская область богата своими культурными традициями. </w:t>
      </w:r>
    </w:p>
    <w:p w:rsidR="00807E13" w:rsidRPr="007950D5" w:rsidRDefault="00807E13" w:rsidP="00807E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>На социально-экономическое развитие Курской области оказывают влияние внешние и внутренние ограничения экономического роста.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 xml:space="preserve">Основные вызовы и проблемы </w:t>
      </w:r>
      <w:proofErr w:type="gramStart"/>
      <w:r w:rsidRPr="007950D5">
        <w:rPr>
          <w:rFonts w:ascii="Times New Roman" w:hAnsi="Times New Roman" w:cs="Times New Roman"/>
          <w:color w:val="auto"/>
          <w:sz w:val="28"/>
          <w:szCs w:val="28"/>
        </w:rPr>
        <w:t>социально-экономического</w:t>
      </w:r>
      <w:proofErr w:type="gramEnd"/>
      <w:r w:rsidRPr="007950D5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Российской Федерации характерны и для Курской области.</w:t>
      </w:r>
    </w:p>
    <w:p w:rsidR="00807E13" w:rsidRPr="007950D5" w:rsidRDefault="00807E13" w:rsidP="00807E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 xml:space="preserve">Внешние макроэкономические факторы связаны с текущей геополитической обстановкой, в том числе в отношениях с Украиной, конъюнктурой на сырьевых рынках. В их числе: продолжение действия санкций со стороны ЕС и США, ограничение доступа к внешнему финансированию и к новым зарубежным технологическим решениям. </w:t>
      </w:r>
    </w:p>
    <w:p w:rsidR="00807E13" w:rsidRPr="007950D5" w:rsidRDefault="00807E13" w:rsidP="00807E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>Наряду с внешними факторами существуют внутренние ограничения экономического роста.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>К основным вызовам и рискам, сдерживающим развитие региона, можно отнести:</w:t>
      </w:r>
    </w:p>
    <w:p w:rsidR="00807E13" w:rsidRPr="007950D5" w:rsidRDefault="00807E13" w:rsidP="00807E1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сокращение доли населения в трудоспособном возрасте в </w:t>
      </w:r>
      <w:proofErr w:type="gramStart"/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общей численности населения с одновременным увеличением доли населения старше трудоспособного возраста</w:t>
      </w:r>
      <w:proofErr w:type="gramEnd"/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07E13" w:rsidRPr="007950D5" w:rsidRDefault="00807E13" w:rsidP="00807E1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высокая конкуренция по размещению инвестиционных проектов с соседними регионами, прежде всего с субъектами Центрального федерального округа;</w:t>
      </w:r>
    </w:p>
    <w:p w:rsidR="00807E13" w:rsidRPr="007950D5" w:rsidRDefault="00807E13" w:rsidP="00807E13">
      <w:pPr>
        <w:widowControl/>
        <w:tabs>
          <w:tab w:val="left" w:pos="252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несбалансированность региональной системы расселения, существенная дифференциация в развитии муниципальных образований;</w:t>
      </w:r>
    </w:p>
    <w:p w:rsidR="00807E13" w:rsidRPr="007950D5" w:rsidRDefault="00807E13" w:rsidP="00807E13">
      <w:pPr>
        <w:widowControl/>
        <w:tabs>
          <w:tab w:val="left" w:pos="252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преимущественно </w:t>
      </w:r>
      <w:proofErr w:type="spellStart"/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старопромышленная</w:t>
      </w:r>
      <w:proofErr w:type="spellEnd"/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модель развития экономики с недостаточным уровнем </w:t>
      </w:r>
      <w:proofErr w:type="gramStart"/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инновационного</w:t>
      </w:r>
      <w:proofErr w:type="gramEnd"/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развития;</w:t>
      </w:r>
    </w:p>
    <w:p w:rsidR="00807E13" w:rsidRPr="007950D5" w:rsidRDefault="00807E13" w:rsidP="00807E13">
      <w:pPr>
        <w:widowControl/>
        <w:tabs>
          <w:tab w:val="left" w:pos="252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50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снижение инвестиционной привлекательности региона в связи с  приграничным положением Курской области.</w:t>
      </w:r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D5">
        <w:rPr>
          <w:rFonts w:ascii="Times New Roman" w:hAnsi="Times New Roman" w:cs="Times New Roman"/>
          <w:b/>
          <w:sz w:val="28"/>
          <w:szCs w:val="28"/>
        </w:rPr>
        <w:t>4. Направления социально-экономического развития Курской области и целевые показатели трех вариантов долгосрочного прогноза, включая количественные показатели и качественные характеристики социально-экономического развития</w:t>
      </w:r>
    </w:p>
    <w:p w:rsidR="00807E13" w:rsidRPr="009765E6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Социально-экономическая политика Администрации Курской области на </w:t>
      </w:r>
      <w:r>
        <w:rPr>
          <w:rFonts w:ascii="Times New Roman" w:hAnsi="Times New Roman" w:cs="Times New Roman"/>
          <w:color w:val="auto"/>
          <w:sz w:val="28"/>
          <w:szCs w:val="28"/>
        </w:rPr>
        <w:t>долгосрочную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перспективу будет определяться на основе приоритетов, сформулированных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указах Президента Российской Федерации от 7 мая 2012 года №№ 596-606, Указе Президента Российской Федерации от 16 января 2017 года № 13</w:t>
      </w:r>
      <w:proofErr w:type="gramEnd"/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Start"/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Основ государственной политики регионального развития Российской Федерации на период до 2025 года», </w:t>
      </w:r>
      <w:r w:rsidRPr="00976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Указе Президента Российской Федерации от 13 мая 2017 года № 208 «О Стратегии экономической безопасности Российской Федерации на период до 2030 года», Основных направлениях деятельности Правительства Российской Федерации на период до 2024 года, С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>тратегии социально-экономического развития Курской области на период до 2020 года, Инвестиционной стратегии Курской области</w:t>
      </w:r>
      <w:proofErr w:type="gramEnd"/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до 2025 года.</w:t>
      </w:r>
    </w:p>
    <w:p w:rsidR="00807E13" w:rsidRPr="00636EFC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FC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в Курской области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636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636EFC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E13" w:rsidRPr="00636EFC" w:rsidRDefault="00807E13" w:rsidP="00807E13">
      <w:pPr>
        <w:pStyle w:val="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FC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28 июня 2014 года №172-ФЗ «О стратегическом планировании в Российской Федерации» в Курской области </w:t>
      </w:r>
      <w:r>
        <w:rPr>
          <w:rFonts w:ascii="Times New Roman" w:hAnsi="Times New Roman" w:cs="Times New Roman"/>
          <w:color w:val="020C22"/>
          <w:sz w:val="28"/>
          <w:szCs w:val="28"/>
        </w:rPr>
        <w:t>завершается</w:t>
      </w:r>
      <w:r w:rsidRPr="00636EFC">
        <w:rPr>
          <w:rFonts w:ascii="Times New Roman" w:hAnsi="Times New Roman" w:cs="Times New Roman"/>
          <w:color w:val="020C22"/>
          <w:sz w:val="28"/>
          <w:szCs w:val="28"/>
        </w:rPr>
        <w:t xml:space="preserve"> разработка проекта Стратегии социально-экономического развития Курской области на период до 2030 года</w:t>
      </w:r>
      <w:r w:rsidRPr="00636EFC">
        <w:rPr>
          <w:rFonts w:ascii="Times New Roman" w:hAnsi="Times New Roman" w:cs="Times New Roman"/>
          <w:sz w:val="28"/>
          <w:szCs w:val="28"/>
        </w:rPr>
        <w:t xml:space="preserve"> </w:t>
      </w:r>
      <w:r w:rsidRPr="00636EFC">
        <w:rPr>
          <w:rFonts w:ascii="Times New Roman" w:hAnsi="Times New Roman" w:cs="Times New Roman"/>
          <w:color w:val="020C22"/>
          <w:sz w:val="28"/>
          <w:szCs w:val="28"/>
        </w:rPr>
        <w:t>и плана мероприятий по реализации Стратегии.</w:t>
      </w:r>
      <w:r w:rsidRPr="0063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13" w:rsidRPr="00290A4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4E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Курской области согласуются с направлениями развития Российской Федерации, национальными целями и ключевыми </w:t>
      </w:r>
      <w:proofErr w:type="gramStart"/>
      <w:r w:rsidRPr="00290A4E">
        <w:rPr>
          <w:rFonts w:ascii="Times New Roman" w:hAnsi="Times New Roman" w:cs="Times New Roman"/>
          <w:sz w:val="28"/>
          <w:szCs w:val="28"/>
        </w:rPr>
        <w:t>приоритетами на период</w:t>
      </w:r>
      <w:proofErr w:type="gramEnd"/>
      <w:r w:rsidRPr="00290A4E">
        <w:rPr>
          <w:rFonts w:ascii="Times New Roman" w:hAnsi="Times New Roman" w:cs="Times New Roman"/>
          <w:sz w:val="28"/>
          <w:szCs w:val="28"/>
        </w:rPr>
        <w:t xml:space="preserve"> до 2024 года, которые определены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 года». </w:t>
      </w:r>
    </w:p>
    <w:p w:rsidR="00D721F6" w:rsidRDefault="00807E13" w:rsidP="00807E13">
      <w:pPr>
        <w:tabs>
          <w:tab w:val="left" w:pos="0"/>
        </w:tabs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Органами исполнительной власти Курской области разработаны и реализуются паспорта </w:t>
      </w:r>
      <w:r w:rsidR="00D721F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49</w:t>
      </w: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региональных проектов, обеспечивающих достижение целей, показателей и результатов федеральных проектов, входящих в состав </w:t>
      </w:r>
      <w:r w:rsidR="00D721F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11</w:t>
      </w: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из 12  национальных проектов (программ)</w:t>
      </w:r>
      <w:r w:rsidR="00D721F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807E13" w:rsidRPr="007B06C8" w:rsidRDefault="00807E13" w:rsidP="00807E13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Согласно </w:t>
      </w:r>
      <w:r w:rsidRPr="007B06C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паспортам региональных проектов с 2019 по 2024 годы в регион будет привлечено более 47,0 млрд. рублей.</w:t>
      </w:r>
    </w:p>
    <w:p w:rsidR="00807E13" w:rsidRPr="00F71C50" w:rsidRDefault="00807E13" w:rsidP="00807E13">
      <w:pPr>
        <w:ind w:firstLine="709"/>
        <w:jc w:val="both"/>
        <w:rPr>
          <w:color w:val="auto"/>
          <w:sz w:val="28"/>
          <w:szCs w:val="28"/>
        </w:rPr>
      </w:pPr>
      <w:r w:rsidRPr="007B06C8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</w:t>
      </w:r>
      <w:r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 данных направлений будет выполнение мероприятий государственных программ Курской области, а также проведение работы по реализации в Курской области основных направлений стратегического развития Российской Федерации в рамках проектного управления.</w:t>
      </w:r>
    </w:p>
    <w:p w:rsidR="00807E13" w:rsidRPr="00F71C50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показатели прогноза социально-экономического развития Курской области по трем вариантам представлены в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приложении № 1</w:t>
      </w:r>
      <w:r w:rsidRPr="00F71C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7E13" w:rsidRPr="001D4D25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E13" w:rsidRPr="00F71C50" w:rsidRDefault="00807E13" w:rsidP="00807E13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>5. Основные параметры государственных программ Курской области</w:t>
      </w:r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052">
        <w:rPr>
          <w:rFonts w:ascii="Times New Roman" w:hAnsi="Times New Roman" w:cs="Times New Roman"/>
          <w:color w:val="auto"/>
          <w:sz w:val="28"/>
          <w:szCs w:val="28"/>
        </w:rPr>
        <w:t>В Курской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2019 году</w:t>
      </w:r>
      <w:r w:rsidRPr="006F1052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реализация 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>27 государственных программ Курской области по приоритетным направлениям: новое качество жизни; инновационное развитие и модернизация экономи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ки; эффективное государство. </w:t>
      </w:r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2020-2022</w:t>
      </w:r>
      <w:r w:rsidRPr="006F1052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будет осуществляться</w:t>
      </w:r>
      <w:r w:rsidRPr="006F105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28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программ Курской облас</w:t>
      </w:r>
      <w:r>
        <w:rPr>
          <w:rFonts w:ascii="Times New Roman" w:hAnsi="Times New Roman" w:cs="Times New Roman"/>
          <w:color w:val="auto"/>
          <w:sz w:val="28"/>
          <w:szCs w:val="28"/>
        </w:rPr>
        <w:t>ти, в том числе одна новая государственная программа – «Комплексное развитие сельских территорий Курской области».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7E13" w:rsidRDefault="00807E13" w:rsidP="00807E13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>Удельный вес расходов областного бюджета, формируемых в рамках государственных программ, в общем объеме ра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сходов областного бюджета в 2018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году составил 98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,3 %. В 2019-2022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годах прогнозируется не менее 90 % (в соответствии с государственной программой Курской области 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области»).</w:t>
      </w:r>
      <w:proofErr w:type="gramEnd"/>
    </w:p>
    <w:p w:rsidR="00807E13" w:rsidRPr="00C13ACF" w:rsidRDefault="00807E13" w:rsidP="00807E13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>На реализацию государственных программ Курск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ой области в 2018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году фактически израсходовано 78,9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млрд. рублей, в том чи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сле из федерального бюджета – 9,7 млрд. рублей (12,3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 от общего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объема); областного бюджета – 44,1 млрд. рублей (55,9 %);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местных бюджетов – </w:t>
      </w:r>
      <w:r>
        <w:rPr>
          <w:rFonts w:ascii="Times New Roman" w:hAnsi="Times New Roman" w:cs="Times New Roman"/>
          <w:color w:val="auto"/>
          <w:sz w:val="28"/>
          <w:szCs w:val="28"/>
        </w:rPr>
        <w:t>721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млн. рублей (0,9 %);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средств территориального фонда обязательного медицинского страхования – </w:t>
      </w:r>
      <w:r>
        <w:rPr>
          <w:rFonts w:ascii="Times New Roman" w:hAnsi="Times New Roman" w:cs="Times New Roman"/>
          <w:color w:val="auto"/>
          <w:sz w:val="28"/>
          <w:szCs w:val="28"/>
        </w:rPr>
        <w:t>12,4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млрд. рублей (15,7 %);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внебюджетных источников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–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12,0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млрд. рублей (15,2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%).</w:t>
      </w:r>
      <w:proofErr w:type="gramEnd"/>
    </w:p>
    <w:p w:rsidR="00807E13" w:rsidRDefault="00807E13" w:rsidP="00807E13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>Сред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ства федерального бюджета в 2018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ду привлекались на реализацию 19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программ Курской области.</w:t>
      </w:r>
    </w:p>
    <w:p w:rsidR="00807E13" w:rsidRDefault="00807E13" w:rsidP="00807E13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 2019 году на реализацию государственных программ Курской области в соответствии со сводной бюджетной росписью областного бюджета предусмотрено направить 59,95 млрд. рублей; за январь-июнь текущего года направлено 27,50 млрд. рублей или 45,9 % от годового объема.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0D5">
        <w:rPr>
          <w:rFonts w:ascii="Times New Roman" w:hAnsi="Times New Roman" w:cs="Times New Roman"/>
          <w:color w:val="auto"/>
          <w:sz w:val="28"/>
          <w:szCs w:val="28"/>
        </w:rPr>
        <w:t xml:space="preserve">В долгосрочном периоде реализация государственных программ Курской области продолжится. </w:t>
      </w:r>
    </w:p>
    <w:p w:rsidR="00807E13" w:rsidRPr="00B432D5" w:rsidRDefault="00807E13" w:rsidP="00807E13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20A4A">
        <w:rPr>
          <w:rFonts w:ascii="Times New Roman" w:eastAsia="Calibri" w:hAnsi="Times New Roman" w:cs="Times New Roman"/>
          <w:color w:val="auto"/>
          <w:sz w:val="28"/>
          <w:szCs w:val="28"/>
        </w:rPr>
        <w:t>Перечень государственных программ Курской области представлен 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приложении</w:t>
      </w:r>
      <w:r w:rsidRPr="00720A4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№ 2.</w:t>
      </w:r>
    </w:p>
    <w:p w:rsidR="00807E13" w:rsidRPr="001D4D25" w:rsidRDefault="00807E13" w:rsidP="00807E13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D5">
        <w:rPr>
          <w:rFonts w:ascii="Times New Roman" w:hAnsi="Times New Roman" w:cs="Times New Roman"/>
          <w:b/>
          <w:sz w:val="28"/>
          <w:szCs w:val="28"/>
        </w:rPr>
        <w:t>6. Основные показатели развития по отдельным видам экономической деятельности на долгосрочный период</w:t>
      </w:r>
    </w:p>
    <w:p w:rsidR="00807E13" w:rsidRPr="007950D5" w:rsidRDefault="00807E13" w:rsidP="00807E1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0D5">
        <w:rPr>
          <w:rFonts w:ascii="Times New Roman" w:hAnsi="Times New Roman" w:cs="Times New Roman"/>
          <w:i/>
          <w:sz w:val="28"/>
          <w:szCs w:val="28"/>
        </w:rPr>
        <w:t>Численность населения</w:t>
      </w:r>
    </w:p>
    <w:p w:rsidR="00807E13" w:rsidRPr="00073807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07">
        <w:rPr>
          <w:rFonts w:ascii="Times New Roman" w:hAnsi="Times New Roman" w:cs="Times New Roman"/>
          <w:sz w:val="28"/>
          <w:szCs w:val="28"/>
        </w:rPr>
        <w:t>Среднегодовая численность населения в целом по области за 2019 год оценивается на уровне 1103,1 тыс. человек со снижением к 2018 году на</w:t>
      </w:r>
      <w:r w:rsidR="001206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3807">
        <w:rPr>
          <w:rFonts w:ascii="Times New Roman" w:hAnsi="Times New Roman" w:cs="Times New Roman"/>
          <w:sz w:val="28"/>
          <w:szCs w:val="28"/>
        </w:rPr>
        <w:t xml:space="preserve"> 0,7 %. </w:t>
      </w:r>
    </w:p>
    <w:p w:rsidR="00807E13" w:rsidRPr="00073807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07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области в 2030 году по консервативному варианту составит порядка 1034,34 тыс. человек, по базовому и целевому вариантам – 1076,44 тыс. человек. </w:t>
      </w:r>
    </w:p>
    <w:p w:rsidR="00807E13" w:rsidRPr="00B7633E" w:rsidRDefault="00807E13" w:rsidP="00807E1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33E">
        <w:rPr>
          <w:rFonts w:ascii="Times New Roman" w:hAnsi="Times New Roman" w:cs="Times New Roman"/>
          <w:i/>
          <w:sz w:val="28"/>
          <w:szCs w:val="28"/>
        </w:rPr>
        <w:t>Промышленность</w:t>
      </w:r>
    </w:p>
    <w:p w:rsidR="00807E13" w:rsidRPr="00345CCB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CB">
        <w:rPr>
          <w:rFonts w:ascii="Times New Roman" w:hAnsi="Times New Roman" w:cs="Times New Roman"/>
          <w:sz w:val="28"/>
          <w:szCs w:val="28"/>
        </w:rPr>
        <w:t xml:space="preserve">Главной целью развития промышленности Курской области до                    2030 года является достижение устойчивых темпов роста объемов производства на основе повышения конкурентоспособности отраслей за счет модернизации производственных мощностей и повышения эффективности их использования, развития  инновационной деятельности предприятий. </w:t>
      </w:r>
    </w:p>
    <w:p w:rsidR="00807E13" w:rsidRPr="00F155FB" w:rsidRDefault="00807E13" w:rsidP="00807E1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Перспективным направлением в развитии энергетики области является реализация проекта по строительству станции замещения Курская АЭС-2, отвечающей современным требованиям безопасности, с увеличенным сроком службы энергоблоков (60 лет против 45 на действующих) и большей установленной мощностью (на 225 МВт каждый). </w:t>
      </w:r>
      <w:proofErr w:type="spellStart"/>
      <w:r w:rsidRPr="00F155FB">
        <w:rPr>
          <w:rFonts w:ascii="Times New Roman" w:hAnsi="Times New Roman" w:cs="Times New Roman"/>
          <w:color w:val="auto"/>
          <w:sz w:val="28"/>
          <w:szCs w:val="28"/>
        </w:rPr>
        <w:t>Энергопуск</w:t>
      </w:r>
      <w:proofErr w:type="spellEnd"/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блоков № 1 и № 2 </w:t>
      </w:r>
      <w:proofErr w:type="gramStart"/>
      <w:r w:rsidRPr="00F155FB">
        <w:rPr>
          <w:rFonts w:ascii="Times New Roman" w:hAnsi="Times New Roman" w:cs="Times New Roman"/>
          <w:color w:val="auto"/>
          <w:sz w:val="28"/>
          <w:szCs w:val="28"/>
        </w:rPr>
        <w:t>запланирован</w:t>
      </w:r>
      <w:proofErr w:type="gramEnd"/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в 2023 и 2024 гг. с целью замещения блоков № 1 и № 2 действующей станции.</w:t>
      </w:r>
    </w:p>
    <w:p w:rsidR="00807E13" w:rsidRPr="008F00E3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69">
        <w:rPr>
          <w:rFonts w:ascii="Times New Roman" w:hAnsi="Times New Roman" w:cs="Times New Roman"/>
          <w:sz w:val="28"/>
          <w:szCs w:val="28"/>
        </w:rPr>
        <w:t>Ведущим предприятием в добыче полезных ископаемых является ПАО «Михайловский ГОК», входящее в состав холдинга «</w:t>
      </w:r>
      <w:proofErr w:type="spellStart"/>
      <w:r w:rsidRPr="004F1A69">
        <w:rPr>
          <w:rFonts w:ascii="Times New Roman" w:hAnsi="Times New Roman" w:cs="Times New Roman"/>
          <w:sz w:val="28"/>
          <w:szCs w:val="28"/>
        </w:rPr>
        <w:t>Металлоинвест</w:t>
      </w:r>
      <w:proofErr w:type="spellEnd"/>
      <w:r w:rsidRPr="004F1A69">
        <w:rPr>
          <w:rFonts w:ascii="Times New Roman" w:hAnsi="Times New Roman" w:cs="Times New Roman"/>
          <w:sz w:val="28"/>
          <w:szCs w:val="28"/>
        </w:rPr>
        <w:t xml:space="preserve">». </w:t>
      </w:r>
      <w:r w:rsidRPr="008F00E3">
        <w:rPr>
          <w:rFonts w:ascii="Times New Roman" w:hAnsi="Times New Roman" w:cs="Times New Roman"/>
          <w:sz w:val="28"/>
          <w:szCs w:val="28"/>
        </w:rPr>
        <w:t xml:space="preserve">Производимая продукция - руда железная, доменная, </w:t>
      </w:r>
      <w:proofErr w:type="spellStart"/>
      <w:r w:rsidRPr="008F00E3">
        <w:rPr>
          <w:rFonts w:ascii="Times New Roman" w:hAnsi="Times New Roman" w:cs="Times New Roman"/>
          <w:sz w:val="28"/>
          <w:szCs w:val="28"/>
        </w:rPr>
        <w:t>аглоруда</w:t>
      </w:r>
      <w:proofErr w:type="spellEnd"/>
      <w:r w:rsidRPr="008F00E3">
        <w:rPr>
          <w:rFonts w:ascii="Times New Roman" w:hAnsi="Times New Roman" w:cs="Times New Roman"/>
          <w:sz w:val="28"/>
          <w:szCs w:val="28"/>
        </w:rPr>
        <w:t xml:space="preserve">, железорудный концентрат, окатыши, </w:t>
      </w:r>
      <w:r w:rsidRPr="008F00E3">
        <w:rPr>
          <w:rFonts w:ascii="Times New Roman" w:hAnsi="Times New Roman" w:cs="Times New Roman"/>
          <w:bCs/>
          <w:sz w:val="28"/>
          <w:szCs w:val="28"/>
        </w:rPr>
        <w:t>окисленные кварциты</w:t>
      </w:r>
      <w:r w:rsidRPr="008F00E3">
        <w:rPr>
          <w:rFonts w:ascii="Times New Roman" w:hAnsi="Times New Roman" w:cs="Times New Roman"/>
          <w:sz w:val="28"/>
          <w:szCs w:val="28"/>
        </w:rPr>
        <w:t>. Михайловский ГОК - второй по величине комплекс по добыче и обогащению железной руды в России.</w:t>
      </w:r>
    </w:p>
    <w:p w:rsidR="00807E13" w:rsidRDefault="00807E13" w:rsidP="00807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 xml:space="preserve">В настоящее время Михайловским 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ГОКом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 реализуется инвестиционный проект «Строительство дробильно-конвейерного комплекса на северо-восточном и юго-восточном борту карьера», что позволит обеспечить ежегодное производство магнетитового концентрата в объеме не менее 17,0 млн. тонн в год; повысить эффективность работы </w:t>
      </w:r>
      <w:proofErr w:type="spellStart"/>
      <w:proofErr w:type="gramStart"/>
      <w:r w:rsidRPr="00F155FB">
        <w:rPr>
          <w:rFonts w:ascii="Times New Roman" w:hAnsi="Times New Roman" w:cs="Times New Roman"/>
          <w:sz w:val="28"/>
          <w:szCs w:val="28"/>
        </w:rPr>
        <w:t>горно-транспортного</w:t>
      </w:r>
      <w:proofErr w:type="spellEnd"/>
      <w:proofErr w:type="gramEnd"/>
      <w:r w:rsidRPr="00F155FB">
        <w:rPr>
          <w:rFonts w:ascii="Times New Roman" w:hAnsi="Times New Roman" w:cs="Times New Roman"/>
          <w:sz w:val="28"/>
          <w:szCs w:val="28"/>
        </w:rPr>
        <w:t xml:space="preserve"> комплекса, а также дополнительно вовлечь в переработку запасы руды высокого качества.</w:t>
      </w:r>
    </w:p>
    <w:p w:rsidR="00807E13" w:rsidRPr="00EB47D9" w:rsidRDefault="00807E13" w:rsidP="00807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B47D9">
        <w:rPr>
          <w:rFonts w:ascii="Times New Roman" w:hAnsi="Times New Roman" w:cs="Times New Roman"/>
          <w:sz w:val="28"/>
          <w:szCs w:val="28"/>
        </w:rPr>
        <w:t xml:space="preserve"> году на Михайловском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ГОКе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 начата реализация программы модернизации действующего производства, </w:t>
      </w:r>
      <w:proofErr w:type="gramStart"/>
      <w:r w:rsidRPr="00EB47D9"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 w:rsidRPr="00EB47D9">
        <w:rPr>
          <w:rFonts w:ascii="Times New Roman" w:hAnsi="Times New Roman" w:cs="Times New Roman"/>
          <w:sz w:val="28"/>
          <w:szCs w:val="28"/>
        </w:rPr>
        <w:t xml:space="preserve"> в том числе реконструкцию существующей фабрики обогащения и строительство нового корпуса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дообогащения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 концентрата для внедрения технологии тонкого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. Стоимость проекта 11,5 млрд. рублей (без НДС). </w:t>
      </w:r>
    </w:p>
    <w:p w:rsidR="00807E13" w:rsidRPr="00EB47D9" w:rsidRDefault="00807E13" w:rsidP="00807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sz w:val="28"/>
          <w:szCs w:val="28"/>
        </w:rPr>
        <w:t>На первом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7D9">
        <w:rPr>
          <w:rFonts w:ascii="Times New Roman" w:hAnsi="Times New Roman" w:cs="Times New Roman"/>
          <w:sz w:val="28"/>
          <w:szCs w:val="28"/>
        </w:rPr>
        <w:t xml:space="preserve">пе в 3-4 квартале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B47D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EB47D9">
        <w:rPr>
          <w:rFonts w:ascii="Times New Roman" w:hAnsi="Times New Roman" w:cs="Times New Roman"/>
          <w:sz w:val="28"/>
          <w:szCs w:val="28"/>
        </w:rPr>
        <w:t>тонкое</w:t>
      </w:r>
      <w:proofErr w:type="gramEnd"/>
      <w:r w:rsidRPr="00EB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грохочение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 внедряется на четырех технологических секциях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47D9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7D9">
        <w:rPr>
          <w:rFonts w:ascii="Times New Roman" w:hAnsi="Times New Roman" w:cs="Times New Roman"/>
          <w:sz w:val="28"/>
          <w:szCs w:val="28"/>
        </w:rPr>
        <w:t xml:space="preserve"> обогащения. В 2019 году по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EB47D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47D9">
        <w:rPr>
          <w:rFonts w:ascii="Times New Roman" w:hAnsi="Times New Roman" w:cs="Times New Roman"/>
          <w:sz w:val="28"/>
          <w:szCs w:val="28"/>
        </w:rPr>
        <w:t xml:space="preserve"> концентрата тонкого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 составит 1750 тыс</w:t>
      </w:r>
      <w:proofErr w:type="gramStart"/>
      <w:r w:rsidRPr="00EB47D9"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</w:t>
      </w:r>
      <w:r w:rsidRPr="00EB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E13" w:rsidRPr="00EB47D9" w:rsidRDefault="00807E13" w:rsidP="00807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(масштабное) внедрение технологии тонкого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является вторым этапом модернизации действующего производства,</w:t>
      </w:r>
      <w:r w:rsidRPr="00EB47D9">
        <w:rPr>
          <w:rFonts w:ascii="Times New Roman" w:hAnsi="Times New Roman" w:cs="Times New Roman"/>
          <w:sz w:val="28"/>
          <w:szCs w:val="28"/>
        </w:rPr>
        <w:t xml:space="preserve"> в рамках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47D9">
        <w:rPr>
          <w:rFonts w:ascii="Times New Roman" w:hAnsi="Times New Roman" w:cs="Times New Roman"/>
          <w:sz w:val="28"/>
          <w:szCs w:val="28"/>
        </w:rPr>
        <w:t xml:space="preserve">рого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строительство </w:t>
      </w:r>
      <w:r w:rsidRPr="00EB47D9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 xml:space="preserve">корпуса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дообогащения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с применением высокоэффективного оборудования.</w:t>
      </w:r>
      <w:r w:rsidRPr="00EB47D9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реализации проекта в конце 2022 года производство высококачественного концентрата составит суммарно 16,88 млн. тонн.</w:t>
      </w:r>
    </w:p>
    <w:p w:rsidR="00807E13" w:rsidRPr="00F155FB" w:rsidRDefault="00807E13" w:rsidP="00807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 xml:space="preserve">В целях решения задачи диверсификации структуры промышленности на основе опережающего развития обрабатывающих производств будет продолжена реализация проектов в приоритетных отраслях: производство лекарственных средств, производство резиновых и пластмассовых изделий, химическое производство, производство электрического оборудования, электронных и оптических изделий, производство бумаги и бумажной массы, производство пищевых продуктов. </w:t>
      </w:r>
      <w:proofErr w:type="gramStart"/>
      <w:r w:rsidRPr="00F155FB">
        <w:rPr>
          <w:rFonts w:ascii="Times New Roman" w:hAnsi="Times New Roman" w:cs="Times New Roman"/>
          <w:sz w:val="28"/>
          <w:szCs w:val="28"/>
        </w:rPr>
        <w:t>Инвестиционные проекты ОАО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Фармстандарт-Лексредства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Курскрезинотехника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», группы предприятий «ГОТЭК»,  ООО НПО «Композит», АО «Курский электроаппаратный завод», ОАО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Электроагрегат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Совтест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 АТЕ», 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Авиаавтоматика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 им. В.В. Тарасова», 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Геомаш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55FB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пищевой и перерабатывающей промышленности </w:t>
      </w:r>
      <w:r w:rsidRPr="00F155FB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 отдельных видов продукции, модернизацию производств, повышение конкурентоспособности выпускаемой продукции и эффективности энергопотребления. </w:t>
      </w:r>
      <w:proofErr w:type="gramEnd"/>
    </w:p>
    <w:p w:rsidR="00807E13" w:rsidRPr="00F155FB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>В Курской области для стимулирования промышленной деятельности в сфере обрабатывающих произво</w:t>
      </w:r>
      <w:proofErr w:type="gramStart"/>
      <w:r w:rsidRPr="00F155F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55FB">
        <w:rPr>
          <w:rFonts w:ascii="Times New Roman" w:hAnsi="Times New Roman" w:cs="Times New Roman"/>
          <w:sz w:val="28"/>
          <w:szCs w:val="28"/>
        </w:rPr>
        <w:t>одолжает работу региональный государственный фонд развития промышленности, который совместно с Федеральным фондом предоставляет предприятиям льготные займы на реализацию инвестиционных проектов по модернизации и развитию производства, разработке и выпуску импортозамещающей продукции.</w:t>
      </w:r>
    </w:p>
    <w:p w:rsidR="00807E13" w:rsidRPr="004771CC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CC">
        <w:rPr>
          <w:rFonts w:ascii="Times New Roman" w:hAnsi="Times New Roman" w:cs="Times New Roman"/>
          <w:sz w:val="28"/>
          <w:szCs w:val="28"/>
        </w:rPr>
        <w:t>Реализация этих стратегических задач будет способствовать в перспективе росту объемов производства.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771CC">
        <w:rPr>
          <w:rFonts w:ascii="Times New Roman" w:hAnsi="Times New Roman" w:cs="Times New Roman"/>
          <w:sz w:val="28"/>
          <w:szCs w:val="28"/>
        </w:rPr>
        <w:t>-2030 годах по базовому варианту прогнозируется рост промышленного производства (в сопоставимых ценах) на 11,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1CC">
        <w:rPr>
          <w:rFonts w:ascii="Times New Roman" w:hAnsi="Times New Roman" w:cs="Times New Roman"/>
          <w:sz w:val="28"/>
          <w:szCs w:val="28"/>
        </w:rPr>
        <w:t xml:space="preserve"> %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1CC">
        <w:rPr>
          <w:rFonts w:ascii="Times New Roman" w:hAnsi="Times New Roman" w:cs="Times New Roman"/>
          <w:sz w:val="28"/>
          <w:szCs w:val="28"/>
        </w:rPr>
        <w:t xml:space="preserve"> года, по целевому варианту - на 17,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71CC">
        <w:rPr>
          <w:rFonts w:ascii="Times New Roman" w:hAnsi="Times New Roman" w:cs="Times New Roman"/>
          <w:sz w:val="28"/>
          <w:szCs w:val="28"/>
        </w:rPr>
        <w:t xml:space="preserve"> %, по консервативному варианту –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C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71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07E13" w:rsidRPr="00B7633E" w:rsidRDefault="00807E13" w:rsidP="00807E1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33E">
        <w:rPr>
          <w:rFonts w:ascii="Times New Roman" w:hAnsi="Times New Roman" w:cs="Times New Roman"/>
          <w:i/>
          <w:sz w:val="28"/>
          <w:szCs w:val="28"/>
        </w:rPr>
        <w:t>Сельское хозяйство</w:t>
      </w:r>
    </w:p>
    <w:p w:rsidR="00807E13" w:rsidRPr="00345CCB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CCB">
        <w:rPr>
          <w:rFonts w:ascii="Times New Roman" w:hAnsi="Times New Roman" w:cs="Times New Roman"/>
          <w:sz w:val="28"/>
          <w:szCs w:val="28"/>
        </w:rPr>
        <w:t xml:space="preserve">Аграрная политика области направлена на повышение экономической эффективности агропромышленного комплекса области за счет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345CC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CCB">
        <w:rPr>
          <w:rFonts w:ascii="Times New Roman" w:hAnsi="Times New Roman" w:cs="Times New Roman"/>
          <w:sz w:val="28"/>
          <w:szCs w:val="28"/>
        </w:rPr>
        <w:t xml:space="preserve"> производства и реализации сельхозпродукции</w:t>
      </w:r>
      <w:r>
        <w:rPr>
          <w:rFonts w:ascii="Times New Roman" w:hAnsi="Times New Roman" w:cs="Times New Roman"/>
          <w:sz w:val="28"/>
          <w:szCs w:val="28"/>
        </w:rPr>
        <w:t>, расширения сырьевой базы перерабатывающих предприятий</w:t>
      </w:r>
      <w:r w:rsidRPr="00345CCB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</w:r>
      <w:r>
        <w:rPr>
          <w:rFonts w:ascii="Times New Roman" w:hAnsi="Times New Roman" w:cs="Times New Roman"/>
          <w:sz w:val="28"/>
          <w:szCs w:val="28"/>
        </w:rPr>
        <w:t>, соглашений о сотрудничестве с агропромышленными компаниями</w:t>
      </w:r>
      <w:r w:rsidRPr="00345C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CB">
        <w:rPr>
          <w:rFonts w:ascii="Times New Roman" w:hAnsi="Times New Roman" w:cs="Times New Roman"/>
          <w:sz w:val="28"/>
          <w:szCs w:val="28"/>
        </w:rPr>
        <w:t>Стратегической задачей агропромышленного комплекса остается увеличение производства качественной, конкурентоспособной и необходимой рынку продукции растениеводства и животноводства с последующей ее переработкой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населения области продовольствием</w:t>
      </w:r>
      <w:r w:rsidRPr="00345CCB">
        <w:rPr>
          <w:rFonts w:ascii="Times New Roman" w:hAnsi="Times New Roman" w:cs="Times New Roman"/>
          <w:sz w:val="28"/>
          <w:szCs w:val="28"/>
        </w:rPr>
        <w:t>.</w:t>
      </w:r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растениеводстве продолжится реализация инвестиционных проектов по строительству селекционно-семеноводческих центров, по созданию садов интенсивного типа, закладке многолетних ягодных кустарниковых насаждений.</w:t>
      </w:r>
    </w:p>
    <w:p w:rsidR="00807E13" w:rsidRDefault="00807E13" w:rsidP="00807E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17CE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F17CE">
        <w:rPr>
          <w:rFonts w:ascii="Times New Roman" w:hAnsi="Times New Roman" w:cs="Times New Roman"/>
          <w:color w:val="auto"/>
          <w:sz w:val="28"/>
          <w:szCs w:val="28"/>
        </w:rPr>
        <w:t>АПХ «</w:t>
      </w:r>
      <w:proofErr w:type="spellStart"/>
      <w:r w:rsidRPr="003F17CE">
        <w:rPr>
          <w:rFonts w:ascii="Times New Roman" w:hAnsi="Times New Roman" w:cs="Times New Roman"/>
          <w:color w:val="auto"/>
          <w:sz w:val="28"/>
          <w:szCs w:val="28"/>
        </w:rPr>
        <w:t>Мираторг</w:t>
      </w:r>
      <w:proofErr w:type="spellEnd"/>
      <w:r w:rsidRPr="003F17CE">
        <w:rPr>
          <w:rFonts w:ascii="Times New Roman" w:hAnsi="Times New Roman" w:cs="Times New Roman"/>
          <w:color w:val="auto"/>
          <w:sz w:val="28"/>
          <w:szCs w:val="28"/>
        </w:rPr>
        <w:t xml:space="preserve">» продолжит </w:t>
      </w:r>
      <w:r w:rsidRPr="00F155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F155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мясохладобойни по убою свиней мощностью 4,5 млн. голов в год в Октябрьском районе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</w:t>
      </w:r>
      <w:r w:rsidRPr="00F155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ервую очередь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155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глубокую переработку мяса и производство колбасных изделий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155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намечено</w:t>
      </w:r>
      <w:r w:rsidRPr="00F155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ввести в эксплуатацию в 2020 году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 строительство свиноводческих комплексов в рамках проекта «Удвоение свиноводства».</w:t>
      </w:r>
    </w:p>
    <w:p w:rsidR="00807E13" w:rsidRPr="006B1FDF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B1F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ГК «Содружество» в течение 2019-2021 годов планирует реализовать крупный проект по строительству маслоэкстракционного завода по глубокой переработке масличных культур мощностью 1 млн. тонн в год.</w:t>
      </w:r>
    </w:p>
    <w:p w:rsidR="00807E13" w:rsidRPr="00622C5C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22C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ООО «</w:t>
      </w:r>
      <w:proofErr w:type="spellStart"/>
      <w:r w:rsidRPr="00622C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ЭкоНиваАгро</w:t>
      </w:r>
      <w:proofErr w:type="spellEnd"/>
      <w:r w:rsidRPr="00622C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 планирует в регионе строительство трех молочных комплексов, рассчитанных на 3300 голов коров каждый.</w:t>
      </w:r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5C">
        <w:rPr>
          <w:rFonts w:ascii="Times New Roman" w:hAnsi="Times New Roman" w:cs="Times New Roman"/>
          <w:color w:val="auto"/>
          <w:sz w:val="28"/>
          <w:szCs w:val="28"/>
        </w:rPr>
        <w:t>Прогнозируемое развитие положительных тенденций в</w:t>
      </w:r>
      <w:r w:rsidRPr="008373F6">
        <w:rPr>
          <w:rFonts w:ascii="Times New Roman" w:hAnsi="Times New Roman" w:cs="Times New Roman"/>
          <w:sz w:val="28"/>
          <w:szCs w:val="28"/>
        </w:rPr>
        <w:t xml:space="preserve"> агропромышленном комплексе области на 2020-2030 годы предусматривается за счет продолжения работы по:</w:t>
      </w:r>
    </w:p>
    <w:p w:rsidR="00807E13" w:rsidRPr="008373F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внедрению и применению передовых, ресурсосберегающих технологий;</w:t>
      </w:r>
    </w:p>
    <w:p w:rsidR="00807E13" w:rsidRPr="008373F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обновлению машинно-тракторного парка в растениеводстве, модернизации объектов произво</w:t>
      </w:r>
      <w:proofErr w:type="gramStart"/>
      <w:r w:rsidRPr="008373F6">
        <w:rPr>
          <w:rFonts w:ascii="Times New Roman" w:hAnsi="Times New Roman" w:cs="Times New Roman"/>
          <w:sz w:val="28"/>
          <w:szCs w:val="28"/>
        </w:rPr>
        <w:t>дств в ж</w:t>
      </w:r>
      <w:proofErr w:type="gramEnd"/>
      <w:r w:rsidRPr="008373F6">
        <w:rPr>
          <w:rFonts w:ascii="Times New Roman" w:hAnsi="Times New Roman" w:cs="Times New Roman"/>
          <w:sz w:val="28"/>
          <w:szCs w:val="28"/>
        </w:rPr>
        <w:t>ивотноводстве;</w:t>
      </w:r>
    </w:p>
    <w:p w:rsidR="00807E13" w:rsidRPr="008373F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применению современных сортов, средствам химизации и защиты растений;</w:t>
      </w:r>
    </w:p>
    <w:p w:rsidR="00807E13" w:rsidRPr="008373F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увеличению поголовья сельскохозяйственных животных, росту продуктивности и улучшению их породных и племенных качеств;</w:t>
      </w:r>
    </w:p>
    <w:p w:rsidR="00807E13" w:rsidRPr="008373F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развитию индустриальных направлений в животноводстве путем строительства и ввода в эксплуатацию новых комплексов.</w:t>
      </w:r>
    </w:p>
    <w:p w:rsidR="00807E13" w:rsidRPr="008373F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Продолжится работа по участию в мероприятиях федеральных целевых программ; расширению и оптимизации дополнительных мер поддержки, стимулирующих развитие аграрного производства.</w:t>
      </w:r>
    </w:p>
    <w:p w:rsidR="00807E13" w:rsidRPr="002E0BCF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C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E0BCF">
        <w:rPr>
          <w:rFonts w:ascii="Times New Roman" w:hAnsi="Times New Roman" w:cs="Times New Roman"/>
          <w:sz w:val="28"/>
          <w:szCs w:val="28"/>
        </w:rPr>
        <w:t xml:space="preserve">-2030 годах по базовому варианту прогнозируется рост производства продукции сельского хозяйства в хозяйствах всех категорий (в сопоставимых ценах) на </w:t>
      </w:r>
      <w:r>
        <w:rPr>
          <w:rFonts w:ascii="Times New Roman" w:hAnsi="Times New Roman" w:cs="Times New Roman"/>
          <w:sz w:val="28"/>
          <w:szCs w:val="28"/>
        </w:rPr>
        <w:t>12,2</w:t>
      </w:r>
      <w:r w:rsidRPr="002E0BCF">
        <w:rPr>
          <w:rFonts w:ascii="Times New Roman" w:hAnsi="Times New Roman" w:cs="Times New Roman"/>
          <w:sz w:val="28"/>
          <w:szCs w:val="28"/>
        </w:rPr>
        <w:t xml:space="preserve"> %, по целевому варианту - на 1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2E0BCF">
        <w:rPr>
          <w:rFonts w:ascii="Times New Roman" w:hAnsi="Times New Roman" w:cs="Times New Roman"/>
          <w:sz w:val="28"/>
          <w:szCs w:val="28"/>
        </w:rPr>
        <w:t xml:space="preserve"> %, по консервативному варианту - на 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0BC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07E13" w:rsidRPr="00B7633E" w:rsidRDefault="00807E13" w:rsidP="00807E1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33E">
        <w:rPr>
          <w:rFonts w:ascii="Times New Roman" w:hAnsi="Times New Roman" w:cs="Times New Roman"/>
          <w:i/>
          <w:sz w:val="28"/>
          <w:szCs w:val="28"/>
        </w:rPr>
        <w:t xml:space="preserve">Инвестиции </w:t>
      </w:r>
    </w:p>
    <w:p w:rsidR="00807E13" w:rsidRPr="00B7633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3E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деятельности Правительства Российской Федерации на период до 2024 года повышение инвестиционной активности регионов определено одним из основных условий для выхода на более высокую траекторию экономического роста страны.</w:t>
      </w:r>
    </w:p>
    <w:p w:rsidR="00807E13" w:rsidRPr="00B7633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3E">
        <w:rPr>
          <w:rFonts w:ascii="Times New Roman" w:hAnsi="Times New Roman" w:cs="Times New Roman"/>
          <w:sz w:val="28"/>
          <w:szCs w:val="28"/>
        </w:rPr>
        <w:t>В целях создания оптимальных условий для притока инвестиций в регионе в долгосрочной перспективе продолжится работа по совершенствованию законодательной основы инвестиционной деятельности.</w:t>
      </w:r>
    </w:p>
    <w:p w:rsidR="00807E13" w:rsidRPr="00B7633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3E">
        <w:rPr>
          <w:rFonts w:ascii="Times New Roman" w:hAnsi="Times New Roman" w:cs="Times New Roman"/>
          <w:sz w:val="28"/>
          <w:szCs w:val="28"/>
        </w:rPr>
        <w:t>Также одним из основных направлений работы по улучшению условий для ведения бизнеса является создание площадок с подготовленными объектами энергетической и транспортной инфраструктуры.</w:t>
      </w:r>
    </w:p>
    <w:p w:rsidR="00807E13" w:rsidRPr="00FB488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8E">
        <w:rPr>
          <w:rFonts w:ascii="Times New Roman" w:hAnsi="Times New Roman" w:cs="Times New Roman"/>
          <w:sz w:val="28"/>
          <w:szCs w:val="28"/>
        </w:rPr>
        <w:t xml:space="preserve">Осуществляется работа по развитию муниципального индустриального (промышленного) парка в г. Щигры и индустриального (промышленного) парка «Юбилейный», расположенного на территории </w:t>
      </w:r>
      <w:proofErr w:type="spellStart"/>
      <w:r w:rsidRPr="00FB488E"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 w:rsidRPr="00FB488E">
        <w:rPr>
          <w:rFonts w:ascii="Times New Roman" w:hAnsi="Times New Roman" w:cs="Times New Roman"/>
          <w:sz w:val="28"/>
          <w:szCs w:val="28"/>
        </w:rPr>
        <w:t xml:space="preserve"> сельсовета Курского района. Особое внимание уделяется пустующим производственным площадкам бывших советских гигантов (создаются индустриальные парки на площадках АПЗ-20 и завода «</w:t>
      </w:r>
      <w:proofErr w:type="spellStart"/>
      <w:r w:rsidRPr="00FB488E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Pr="00FB488E">
        <w:rPr>
          <w:rFonts w:ascii="Times New Roman" w:hAnsi="Times New Roman" w:cs="Times New Roman"/>
          <w:sz w:val="28"/>
          <w:szCs w:val="28"/>
        </w:rPr>
        <w:t>»).</w:t>
      </w:r>
    </w:p>
    <w:p w:rsidR="00807E13" w:rsidRDefault="00807E13" w:rsidP="00807E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 перспективе продолжится осуществление государственной поддержки инвесторов: предоставление субсидий из областного бюджета на возмещение части затрат на уплату процентов по кредитам, привлекаемым на реализацию инвестиционных проектов,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инвестиционных проектов за счет средств Инвестиционного фонда Курской области, создание режима наибольшего благоприятствования, что дает право инвестору на получение льготы по налогу на имущество организаций в части имущества, вновь созданного или приобретенного 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ходе реализации инвестиционных проектов.</w:t>
      </w:r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Продолжится реализация значимых для региона проектов.</w:t>
      </w:r>
    </w:p>
    <w:p w:rsidR="00807E13" w:rsidRPr="00FB488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88E">
        <w:rPr>
          <w:rFonts w:ascii="Times New Roman" w:hAnsi="Times New Roman" w:cs="Times New Roman"/>
          <w:sz w:val="28"/>
          <w:szCs w:val="28"/>
        </w:rPr>
        <w:t>Благодаря реализации крупных инвестиционных проектов на территории региона, в том числе ряда социальных проектов в сферах образования, здравоохранения, физкультуры и спорта, в прогнозном периоде в базовом и целевом вариантах сохранится положительная динамика привлечения инвестиций в основной капитал.</w:t>
      </w:r>
      <w:proofErr w:type="gramEnd"/>
    </w:p>
    <w:p w:rsidR="00807E13" w:rsidRPr="00B606E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EE">
        <w:rPr>
          <w:rFonts w:ascii="Times New Roman" w:hAnsi="Times New Roman" w:cs="Times New Roman"/>
          <w:sz w:val="28"/>
          <w:szCs w:val="28"/>
        </w:rPr>
        <w:t xml:space="preserve">Прогнозируется ежегодное постепенное увеличение объема инвестиций в основной капитал, который к 2030 году по базовому варианту составит 232,7 млрд. рублей с ростом в 1,2 раза (в сопоставимых ценах) к 2018 году.  </w:t>
      </w:r>
    </w:p>
    <w:p w:rsidR="00807E13" w:rsidRPr="00FB488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8E">
        <w:rPr>
          <w:rFonts w:ascii="Times New Roman" w:hAnsi="Times New Roman" w:cs="Times New Roman"/>
          <w:sz w:val="28"/>
          <w:szCs w:val="28"/>
        </w:rPr>
        <w:t>Наибольший объем инвестиций прогнозируется в таких секторах экономики, как обеспечение электрической энергией, газом и паром,  обрабатывающие производства, сельское хозяйство.</w:t>
      </w:r>
    </w:p>
    <w:p w:rsidR="00807E13" w:rsidRPr="00FB488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8E">
        <w:rPr>
          <w:rFonts w:ascii="Times New Roman" w:hAnsi="Times New Roman" w:cs="Times New Roman"/>
          <w:sz w:val="28"/>
          <w:szCs w:val="28"/>
        </w:rPr>
        <w:t>Вложение инвестиций в основной капитал  в прогнозируемом периоде будет осуществляться за счет собственных средств и привлеченных источников. Привлеченные источники включают кредиты банков, заемные средства других организаций, средства вышестоящих организаций, средства населения, привлекаемые на строительство жилья, и прочие.</w:t>
      </w:r>
    </w:p>
    <w:p w:rsidR="00807E13" w:rsidRPr="00FB488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8E">
        <w:rPr>
          <w:rFonts w:ascii="Times New Roman" w:hAnsi="Times New Roman" w:cs="Times New Roman"/>
          <w:sz w:val="28"/>
          <w:szCs w:val="28"/>
        </w:rPr>
        <w:t xml:space="preserve">Основными мотивами инвестиционной деятельности предприятий являются интенсификация и модернизация производства, выпуск новой продукции, поддержание производственных мощностей, расширение существующего производства и другие. </w:t>
      </w:r>
    </w:p>
    <w:p w:rsidR="00807E13" w:rsidRPr="00B7633E" w:rsidRDefault="00807E13" w:rsidP="00807E1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33E">
        <w:rPr>
          <w:rFonts w:ascii="Times New Roman" w:hAnsi="Times New Roman" w:cs="Times New Roman"/>
          <w:i/>
          <w:sz w:val="28"/>
          <w:szCs w:val="28"/>
        </w:rPr>
        <w:t>Строительство</w:t>
      </w:r>
    </w:p>
    <w:p w:rsidR="00807E13" w:rsidRPr="00B7633E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3E">
        <w:rPr>
          <w:rFonts w:ascii="Times New Roman" w:hAnsi="Times New Roman" w:cs="Times New Roman"/>
          <w:sz w:val="28"/>
          <w:szCs w:val="28"/>
        </w:rPr>
        <w:t>Выполнение объемов работ по виду деятельности «Строительство» планируется за счет строительства объектов Курской АЭС-2, реализации крупных инвестиционных проектов в промышленности, в сфере агропромышленного комплекса, а также строительства объектов социальной сферы.</w:t>
      </w:r>
    </w:p>
    <w:p w:rsidR="00807E13" w:rsidRPr="00DD4E69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E69">
        <w:rPr>
          <w:rFonts w:ascii="Times New Roman" w:hAnsi="Times New Roman" w:cs="Times New Roman"/>
          <w:color w:val="auto"/>
          <w:sz w:val="28"/>
          <w:szCs w:val="28"/>
        </w:rPr>
        <w:t>Объем строительных работ в 2020 году по базовому варианту прогнозируется  на уровне 57,66 млрд. рублей (индекс физического объема – 100,1 %), в 20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DD4E69">
        <w:rPr>
          <w:rFonts w:ascii="Times New Roman" w:hAnsi="Times New Roman" w:cs="Times New Roman"/>
          <w:color w:val="auto"/>
          <w:sz w:val="28"/>
          <w:szCs w:val="28"/>
        </w:rPr>
        <w:t xml:space="preserve"> году – на уровне </w:t>
      </w:r>
      <w:r w:rsidRPr="00191649">
        <w:rPr>
          <w:rFonts w:ascii="Times New Roman" w:hAnsi="Times New Roman" w:cs="Times New Roman"/>
          <w:color w:val="auto"/>
          <w:sz w:val="28"/>
          <w:szCs w:val="28"/>
        </w:rPr>
        <w:t>94,86 млрд. рублей (индекс физического объема – 100,1 %).</w:t>
      </w:r>
    </w:p>
    <w:p w:rsidR="00807E13" w:rsidRPr="00616C7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6">
        <w:rPr>
          <w:rFonts w:ascii="Times New Roman" w:hAnsi="Times New Roman" w:cs="Times New Roman"/>
          <w:sz w:val="28"/>
          <w:szCs w:val="28"/>
        </w:rPr>
        <w:t>Значительное влияние на прогнозируемые объемы строительных работ будет оказывать формирование рынка доступного жилья.</w:t>
      </w:r>
    </w:p>
    <w:p w:rsidR="00807E13" w:rsidRPr="00616C7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C76">
        <w:rPr>
          <w:rFonts w:ascii="Times New Roman" w:hAnsi="Times New Roman" w:cs="Times New Roman"/>
          <w:sz w:val="28"/>
          <w:szCs w:val="28"/>
        </w:rPr>
        <w:t xml:space="preserve">В   соответствии  с   Указом  Президента  Российской  Федерации  от  7 мая 2018 г. № 204 «О национальных целях и стратегических задачах развития Российской Федерации», а также Основными направлениями деятельности Правительства Российской Федерации на период до 2024 года  в рамках национального проекта в сфере жилья и городской среды поставлены задачи по ежегодному увеличению объемов жилищного строительства. </w:t>
      </w:r>
      <w:proofErr w:type="gramEnd"/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Целевые (контрольные) показатели по вводу жилья на период 2019-2024 годов утверждены распоряжением Администрации Курской области от 08.02.2019 № 47-ра. </w:t>
      </w:r>
    </w:p>
    <w:p w:rsidR="00807E13" w:rsidRPr="003C08F0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F0">
        <w:rPr>
          <w:rFonts w:ascii="Times New Roman" w:hAnsi="Times New Roman" w:cs="Times New Roman"/>
          <w:sz w:val="28"/>
          <w:szCs w:val="28"/>
        </w:rPr>
        <w:t>Увеличение объемов жилищного строительства, улучшение его качества, реализация мер государственной поддержки позволят обеспечить комфортную среду проживания и жизнедеятельности населения Курской области.</w:t>
      </w:r>
    </w:p>
    <w:p w:rsidR="00807E13" w:rsidRPr="003C08F0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F0">
        <w:rPr>
          <w:rFonts w:ascii="Times New Roman" w:hAnsi="Times New Roman" w:cs="Times New Roman"/>
          <w:sz w:val="28"/>
          <w:szCs w:val="28"/>
        </w:rPr>
        <w:t>Продолжится строительство социально значимых объектов: общеобразовательных школ, детских дошкольных учреждений, поликлинических учреждений и фельдшерско-акушерских пунктов, объектов культуры и спорта.</w:t>
      </w:r>
    </w:p>
    <w:p w:rsidR="00807E13" w:rsidRPr="00616C76" w:rsidRDefault="00807E13" w:rsidP="00807E1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C76">
        <w:rPr>
          <w:rFonts w:ascii="Times New Roman" w:hAnsi="Times New Roman" w:cs="Times New Roman"/>
          <w:i/>
          <w:sz w:val="28"/>
          <w:szCs w:val="28"/>
        </w:rPr>
        <w:t>Потребительский рынок товаров и услуг</w:t>
      </w:r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BD">
        <w:rPr>
          <w:rFonts w:ascii="Times New Roman" w:hAnsi="Times New Roman" w:cs="Times New Roman"/>
          <w:sz w:val="28"/>
          <w:szCs w:val="28"/>
        </w:rPr>
        <w:t>Дальнейшее развитие на потребительском рынке товаров и услуг области в 2019-2030 годах предусматривается за счет:</w:t>
      </w:r>
    </w:p>
    <w:p w:rsidR="00807E13" w:rsidRPr="00DA2F4B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D7">
        <w:rPr>
          <w:rFonts w:ascii="Times New Roman" w:hAnsi="Times New Roman" w:cs="Times New Roman"/>
          <w:color w:val="auto"/>
          <w:sz w:val="28"/>
          <w:szCs w:val="28"/>
        </w:rPr>
        <w:t>развити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C1D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1DD7">
        <w:rPr>
          <w:rFonts w:ascii="Times New Roman" w:hAnsi="Times New Roman" w:cs="Times New Roman"/>
          <w:color w:val="auto"/>
          <w:sz w:val="28"/>
          <w:szCs w:val="28"/>
        </w:rPr>
        <w:t>многоформатной</w:t>
      </w:r>
      <w:proofErr w:type="spellEnd"/>
      <w:r w:rsidRPr="00CC1DD7">
        <w:rPr>
          <w:rFonts w:ascii="Times New Roman" w:hAnsi="Times New Roman" w:cs="Times New Roman"/>
          <w:color w:val="auto"/>
          <w:sz w:val="28"/>
          <w:szCs w:val="28"/>
        </w:rPr>
        <w:t xml:space="preserve"> торговли (развитие сетевой торговли, крупных современных торговых комплексов, магазинов «шаговой доступности») и дальнейшее создание условий для развития конкуренции в отрасли через развитие института саморегулирования в сфере торговли</w:t>
      </w:r>
      <w:r w:rsidRPr="00DA2F4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07E13" w:rsidRPr="00CC1DD7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D7">
        <w:rPr>
          <w:rFonts w:ascii="Times New Roman" w:hAnsi="Times New Roman" w:cs="Times New Roman"/>
          <w:color w:val="auto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C1DD7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 уровня предприятий торговли, общественного питания, бытовых услуг: новое строительство объектов, реконструкция и модернизация действующих предприятий в соответствии с новейшими научно-техническими достижениями;</w:t>
      </w:r>
    </w:p>
    <w:p w:rsidR="00807E13" w:rsidRPr="00E15656" w:rsidRDefault="00807E13" w:rsidP="00807E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5656">
        <w:rPr>
          <w:rFonts w:ascii="Times New Roman" w:hAnsi="Times New Roman" w:cs="Times New Roman"/>
          <w:color w:val="auto"/>
          <w:sz w:val="28"/>
          <w:szCs w:val="28"/>
        </w:rPr>
        <w:t>развити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15656">
        <w:rPr>
          <w:rFonts w:ascii="Times New Roman" w:hAnsi="Times New Roman" w:cs="Times New Roman"/>
          <w:color w:val="auto"/>
          <w:sz w:val="28"/>
          <w:szCs w:val="28"/>
        </w:rPr>
        <w:t xml:space="preserve"> мобильной, нестационарной, ярмарочной, рыночной торговли;</w:t>
      </w:r>
    </w:p>
    <w:p w:rsidR="00807E13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5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656">
        <w:rPr>
          <w:rFonts w:ascii="Times New Roman" w:hAnsi="Times New Roman" w:cs="Times New Roman"/>
          <w:sz w:val="28"/>
          <w:szCs w:val="28"/>
        </w:rPr>
        <w:t xml:space="preserve"> электронной торговли</w:t>
      </w:r>
      <w:r w:rsidRPr="0099735A">
        <w:rPr>
          <w:rFonts w:ascii="Times New Roman" w:hAnsi="Times New Roman" w:cs="Times New Roman"/>
          <w:sz w:val="28"/>
          <w:szCs w:val="28"/>
        </w:rPr>
        <w:t>;</w:t>
      </w:r>
      <w:r w:rsidRPr="00E1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13" w:rsidRPr="00E1565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5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656">
        <w:rPr>
          <w:rFonts w:ascii="Times New Roman" w:hAnsi="Times New Roman" w:cs="Times New Roman"/>
          <w:sz w:val="28"/>
          <w:szCs w:val="28"/>
        </w:rPr>
        <w:t>увеличения доли присутствия товаров местного производства</w:t>
      </w:r>
      <w:proofErr w:type="gramEnd"/>
      <w:r w:rsidRPr="00E15656">
        <w:rPr>
          <w:rFonts w:ascii="Times New Roman" w:hAnsi="Times New Roman" w:cs="Times New Roman"/>
          <w:sz w:val="28"/>
          <w:szCs w:val="28"/>
        </w:rPr>
        <w:t xml:space="preserve"> на полках сетевых магазинов розничной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E13" w:rsidRPr="00574CBD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BD">
        <w:rPr>
          <w:rFonts w:ascii="Times New Roman" w:hAnsi="Times New Roman" w:cs="Times New Roman"/>
          <w:sz w:val="28"/>
          <w:szCs w:val="28"/>
        </w:rPr>
        <w:t>В 2019-2030 годах по базовому варианту оборот розничной торговли (в сопоставимых ценах) прогнозируется с ростом в 1,3 раза; оборот общественного питания - в 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4CBD">
        <w:rPr>
          <w:rFonts w:ascii="Times New Roman" w:hAnsi="Times New Roman" w:cs="Times New Roman"/>
          <w:sz w:val="28"/>
          <w:szCs w:val="28"/>
        </w:rPr>
        <w:t xml:space="preserve"> раза; объем платных услуг, оказываемых населению области, - в 1,2 раза.</w:t>
      </w:r>
    </w:p>
    <w:p w:rsidR="00807E13" w:rsidRPr="001D4D25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4A61">
        <w:rPr>
          <w:rFonts w:ascii="Times New Roman" w:hAnsi="Times New Roman" w:cs="Times New Roman"/>
          <w:sz w:val="28"/>
          <w:szCs w:val="28"/>
        </w:rPr>
        <w:t>По целевому варианту оборот розничной торговли (в сопоставимых ценах) прогнозируется с ростом в 1,4 раза; оборот общественного питания - 1,7 раза; объем платных услуг - в 1,3 раза.</w:t>
      </w:r>
    </w:p>
    <w:p w:rsidR="00807E13" w:rsidRPr="001D4D25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497B">
        <w:rPr>
          <w:rFonts w:ascii="Times New Roman" w:hAnsi="Times New Roman" w:cs="Times New Roman"/>
          <w:sz w:val="28"/>
          <w:szCs w:val="28"/>
        </w:rPr>
        <w:t>По консервативному варианту оборот розничной торговли (в сопоставимых ценах) прогнозируется с ростом в 1,3 раза; оборот общественного питания - в 1,5 раза; объем платных услуг - в 1,1 раза.</w:t>
      </w:r>
    </w:p>
    <w:p w:rsidR="00807E13" w:rsidRPr="00946809" w:rsidRDefault="00807E13" w:rsidP="00807E1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809">
        <w:rPr>
          <w:rFonts w:ascii="Times New Roman" w:hAnsi="Times New Roman" w:cs="Times New Roman"/>
          <w:i/>
          <w:sz w:val="28"/>
          <w:szCs w:val="28"/>
        </w:rPr>
        <w:t>Финансовые результаты</w:t>
      </w:r>
    </w:p>
    <w:p w:rsidR="00807E13" w:rsidRPr="007B06C8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9">
        <w:rPr>
          <w:rFonts w:ascii="Times New Roman" w:hAnsi="Times New Roman" w:cs="Times New Roman"/>
          <w:sz w:val="28"/>
          <w:szCs w:val="28"/>
        </w:rPr>
        <w:t xml:space="preserve">Прибыль прибыльных организаций в целом по области (далее - прибыль) в 2019 году оценивается в </w:t>
      </w:r>
      <w:r w:rsidRPr="007B06C8">
        <w:rPr>
          <w:rFonts w:ascii="Times New Roman" w:hAnsi="Times New Roman" w:cs="Times New Roman"/>
          <w:sz w:val="28"/>
          <w:szCs w:val="28"/>
        </w:rPr>
        <w:t>сумме 108,9 млрд. рублей с ростом на 7,2 % к уровню 2018 года.</w:t>
      </w:r>
    </w:p>
    <w:p w:rsidR="00807E13" w:rsidRPr="007B06C8" w:rsidRDefault="00807E13" w:rsidP="00807E1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6C8">
        <w:rPr>
          <w:rFonts w:ascii="Times New Roman" w:hAnsi="Times New Roman" w:cs="Times New Roman"/>
          <w:color w:val="auto"/>
          <w:sz w:val="28"/>
          <w:szCs w:val="28"/>
        </w:rPr>
        <w:t>Одной из основных задач на прогнозируемый период остается увеличение общей массы прибыли, являющейся одним из основных источников увеличения налогооблагаемой базы.</w:t>
      </w:r>
    </w:p>
    <w:p w:rsidR="00807E13" w:rsidRPr="00291776" w:rsidRDefault="00807E13" w:rsidP="00807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6C8">
        <w:rPr>
          <w:rFonts w:ascii="Times New Roman" w:hAnsi="Times New Roman" w:cs="Times New Roman"/>
          <w:color w:val="auto"/>
          <w:sz w:val="28"/>
          <w:szCs w:val="28"/>
        </w:rPr>
        <w:t xml:space="preserve">Основную долю в общем объеме прибыли занимают предприятия по виду </w:t>
      </w:r>
      <w:r w:rsidRPr="007B06C8">
        <w:rPr>
          <w:rFonts w:ascii="Times New Roman" w:hAnsi="Times New Roman" w:cs="Times New Roman"/>
          <w:sz w:val="28"/>
          <w:szCs w:val="28"/>
        </w:rPr>
        <w:t>экономической деятельности «Добыча полезных ископаемых». Учитывая значительное снижение цен на добываемое сырье в 2019 году к уровню 2018 года, прибыль прибыльных предприятий в 2020 году прогнозируется в сумме 76,3 млрд. рублей со снижением на 29,9 % к уровню 2019 года (базовый вариант).  При прогнозировании показателей на 2021-2030 годы цены на продукцию по виду деятельности «Добыча полезных ископаемых» учитывались на уровне декабря 2019 года.</w:t>
      </w:r>
    </w:p>
    <w:p w:rsidR="00807E13" w:rsidRPr="007B06C8" w:rsidRDefault="00807E13" w:rsidP="00807E1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B06C8">
        <w:rPr>
          <w:rFonts w:ascii="Times New Roman" w:hAnsi="Times New Roman" w:cs="Times New Roman"/>
          <w:color w:val="auto"/>
          <w:sz w:val="28"/>
          <w:szCs w:val="28"/>
        </w:rPr>
        <w:t>К 2030 году прибыль по базовому варианту прогнозируется в сумме 94,8 млрд. рублей (87% к 2019 году, 124,3 % к 2020 году), по целевому варианту - в сумме 99,0 млрд. рублей (90,9 % к 2019 году, 128,3 % к 2020 году), по консервативному варианту - в сумме 89,2 млрд. рублей (81,2 % к 2019 году, 120,7 % к 2020 году).</w:t>
      </w:r>
      <w:proofErr w:type="gramEnd"/>
    </w:p>
    <w:p w:rsidR="00807E13" w:rsidRPr="00616C76" w:rsidRDefault="00807E13" w:rsidP="00807E1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6C8">
        <w:rPr>
          <w:rFonts w:ascii="Times New Roman" w:hAnsi="Times New Roman" w:cs="Times New Roman"/>
          <w:i/>
          <w:sz w:val="28"/>
          <w:szCs w:val="28"/>
        </w:rPr>
        <w:t>Уровень жизни</w:t>
      </w:r>
    </w:p>
    <w:p w:rsidR="00807E13" w:rsidRPr="00616C76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6">
        <w:rPr>
          <w:rFonts w:ascii="Times New Roman" w:hAnsi="Times New Roman" w:cs="Times New Roman"/>
          <w:sz w:val="28"/>
          <w:szCs w:val="28"/>
        </w:rPr>
        <w:t xml:space="preserve">Одним из ключевых показателей уровня жизни населения является уровень заработной платы. </w:t>
      </w:r>
    </w:p>
    <w:p w:rsidR="00807E13" w:rsidRPr="00073807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07">
        <w:rPr>
          <w:rFonts w:ascii="Times New Roman" w:hAnsi="Times New Roman" w:cs="Times New Roman"/>
          <w:sz w:val="28"/>
          <w:szCs w:val="28"/>
        </w:rPr>
        <w:t>В 2019-2030 годах по базовому варианту прогнозируется рост фонда начисленной заработной платы в 2,0 раза, по целевому варианту - в 2,1 раза, по консервативному варианту - в 1,9 раза.</w:t>
      </w:r>
    </w:p>
    <w:p w:rsidR="00807E13" w:rsidRPr="00073807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07">
        <w:rPr>
          <w:rFonts w:ascii="Times New Roman" w:hAnsi="Times New Roman" w:cs="Times New Roman"/>
          <w:sz w:val="28"/>
          <w:szCs w:val="28"/>
        </w:rPr>
        <w:t>Положительной динамике фонда оплаты труда будет способствовать увеличение средней заработной платы в реальном секторе экономики, рост производительности труда, создание новых рабочих мест.</w:t>
      </w:r>
    </w:p>
    <w:p w:rsidR="00807E13" w:rsidRPr="00073807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07">
        <w:rPr>
          <w:rFonts w:ascii="Times New Roman" w:hAnsi="Times New Roman" w:cs="Times New Roman"/>
          <w:sz w:val="28"/>
          <w:szCs w:val="28"/>
        </w:rPr>
        <w:t>До 2030 года динамика среднесписочной численности работников организаций имеет тенденцию к незначительному росту по всем вариантам.</w:t>
      </w:r>
    </w:p>
    <w:p w:rsidR="00807E13" w:rsidRPr="00073807" w:rsidRDefault="00807E13" w:rsidP="0080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807">
        <w:rPr>
          <w:rFonts w:ascii="Times New Roman" w:hAnsi="Times New Roman" w:cs="Times New Roman"/>
          <w:sz w:val="28"/>
          <w:szCs w:val="28"/>
        </w:rPr>
        <w:t>К 2030 году по консервативному варианту среднемесячная начисленная заработная плата работников организаций увеличится в 1,9 раза</w:t>
      </w:r>
      <w:r>
        <w:rPr>
          <w:rFonts w:ascii="Times New Roman" w:hAnsi="Times New Roman" w:cs="Times New Roman"/>
          <w:sz w:val="28"/>
          <w:szCs w:val="28"/>
        </w:rPr>
        <w:t xml:space="preserve"> (к 2018 году)</w:t>
      </w:r>
      <w:r w:rsidRPr="00073807">
        <w:rPr>
          <w:rFonts w:ascii="Times New Roman" w:hAnsi="Times New Roman" w:cs="Times New Roman"/>
          <w:sz w:val="28"/>
          <w:szCs w:val="28"/>
        </w:rPr>
        <w:t xml:space="preserve">, по базовому варианту - в 2 раза </w:t>
      </w:r>
      <w:r>
        <w:rPr>
          <w:rFonts w:ascii="Times New Roman" w:hAnsi="Times New Roman" w:cs="Times New Roman"/>
          <w:sz w:val="28"/>
          <w:szCs w:val="28"/>
        </w:rPr>
        <w:t xml:space="preserve">(к 2018 году) </w:t>
      </w:r>
      <w:r w:rsidRPr="00073807">
        <w:rPr>
          <w:rFonts w:ascii="Times New Roman" w:hAnsi="Times New Roman" w:cs="Times New Roman"/>
          <w:sz w:val="28"/>
          <w:szCs w:val="28"/>
        </w:rPr>
        <w:t>и по целевому варианту - в 2,1 раза</w:t>
      </w:r>
      <w:r>
        <w:rPr>
          <w:rFonts w:ascii="Times New Roman" w:hAnsi="Times New Roman" w:cs="Times New Roman"/>
          <w:sz w:val="28"/>
          <w:szCs w:val="28"/>
        </w:rPr>
        <w:t xml:space="preserve"> (к 2018 году)</w:t>
      </w:r>
      <w:r w:rsidRPr="00073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E13" w:rsidRPr="00073807" w:rsidRDefault="00807E13" w:rsidP="00807E13">
      <w:pPr>
        <w:pStyle w:val="2"/>
        <w:keepNext w:val="0"/>
        <w:widowControl w:val="0"/>
        <w:ind w:left="142"/>
        <w:rPr>
          <w:rFonts w:ascii="Times New Roman" w:hAnsi="Times New Roman"/>
        </w:rPr>
      </w:pPr>
    </w:p>
    <w:p w:rsidR="009F1295" w:rsidRPr="00807E13" w:rsidRDefault="009F1295" w:rsidP="009F1295">
      <w:pPr>
        <w:rPr>
          <w:highlight w:val="yellow"/>
          <w:lang w:bidi="ar-SA"/>
        </w:rPr>
        <w:sectPr w:rsidR="009F1295" w:rsidRPr="00807E13" w:rsidSect="003502B0">
          <w:headerReference w:type="even" r:id="rId8"/>
          <w:headerReference w:type="default" r:id="rId9"/>
          <w:pgSz w:w="11900" w:h="16840"/>
          <w:pgMar w:top="1134" w:right="1134" w:bottom="1134" w:left="1701" w:header="709" w:footer="709" w:gutter="0"/>
          <w:cols w:space="720"/>
          <w:noEndnote/>
          <w:titlePg/>
          <w:docGrid w:linePitch="360"/>
        </w:sectPr>
      </w:pPr>
    </w:p>
    <w:p w:rsidR="00F93A86" w:rsidRPr="00C926D6" w:rsidRDefault="00150935" w:rsidP="00275228">
      <w:pPr>
        <w:pStyle w:val="2"/>
        <w:keepNext w:val="0"/>
        <w:widowControl w:val="0"/>
        <w:ind w:left="8364"/>
        <w:jc w:val="left"/>
        <w:rPr>
          <w:rFonts w:ascii="Times New Roman" w:hAnsi="Times New Roman"/>
          <w:b w:val="0"/>
        </w:rPr>
      </w:pPr>
      <w:r w:rsidRPr="00C926D6">
        <w:rPr>
          <w:rFonts w:ascii="Times New Roman" w:hAnsi="Times New Roman"/>
          <w:b w:val="0"/>
        </w:rPr>
        <w:t>Приложение</w:t>
      </w:r>
      <w:r w:rsidR="00F93A86" w:rsidRPr="00C926D6">
        <w:rPr>
          <w:rFonts w:ascii="Times New Roman" w:hAnsi="Times New Roman"/>
          <w:b w:val="0"/>
        </w:rPr>
        <w:t xml:space="preserve"> № 1</w:t>
      </w:r>
      <w:r w:rsidRPr="00C926D6">
        <w:rPr>
          <w:rFonts w:ascii="Times New Roman" w:hAnsi="Times New Roman"/>
          <w:b w:val="0"/>
        </w:rPr>
        <w:t xml:space="preserve"> </w:t>
      </w:r>
    </w:p>
    <w:p w:rsidR="00150935" w:rsidRPr="00C926D6" w:rsidRDefault="00150935" w:rsidP="00275228">
      <w:pPr>
        <w:ind w:left="8364"/>
        <w:rPr>
          <w:rFonts w:ascii="Times New Roman" w:hAnsi="Times New Roman" w:cs="Times New Roman"/>
          <w:lang w:bidi="ar-SA"/>
        </w:rPr>
      </w:pPr>
      <w:r w:rsidRPr="00C926D6">
        <w:rPr>
          <w:rFonts w:ascii="Times New Roman" w:hAnsi="Times New Roman" w:cs="Times New Roman"/>
          <w:lang w:bidi="ar-SA"/>
        </w:rPr>
        <w:t xml:space="preserve">к долгосрочному прогнозу </w:t>
      </w:r>
      <w:proofErr w:type="gramStart"/>
      <w:r w:rsidRPr="00C926D6">
        <w:rPr>
          <w:rFonts w:ascii="Times New Roman" w:hAnsi="Times New Roman" w:cs="Times New Roman"/>
          <w:lang w:bidi="ar-SA"/>
        </w:rPr>
        <w:t>социально-экономического</w:t>
      </w:r>
      <w:proofErr w:type="gramEnd"/>
      <w:r w:rsidRPr="00C926D6">
        <w:rPr>
          <w:rFonts w:ascii="Times New Roman" w:hAnsi="Times New Roman" w:cs="Times New Roman"/>
          <w:lang w:bidi="ar-SA"/>
        </w:rPr>
        <w:t xml:space="preserve"> </w:t>
      </w:r>
    </w:p>
    <w:p w:rsidR="00150935" w:rsidRPr="00C926D6" w:rsidRDefault="00150935" w:rsidP="00275228">
      <w:pPr>
        <w:ind w:left="8364"/>
        <w:rPr>
          <w:rFonts w:ascii="Times New Roman" w:hAnsi="Times New Roman" w:cs="Times New Roman"/>
          <w:lang w:bidi="ar-SA"/>
        </w:rPr>
      </w:pPr>
      <w:r w:rsidRPr="00C926D6">
        <w:rPr>
          <w:rFonts w:ascii="Times New Roman" w:hAnsi="Times New Roman" w:cs="Times New Roman"/>
          <w:lang w:bidi="ar-SA"/>
        </w:rPr>
        <w:t xml:space="preserve">развития Курской области до 2030 года </w:t>
      </w:r>
    </w:p>
    <w:p w:rsidR="00F93A86" w:rsidRPr="00807E13" w:rsidRDefault="00F93A86" w:rsidP="00F93A86">
      <w:pPr>
        <w:rPr>
          <w:highlight w:val="yellow"/>
          <w:lang w:bidi="ar-SA"/>
        </w:rPr>
      </w:pPr>
    </w:p>
    <w:p w:rsidR="00F93A86" w:rsidRPr="00C926D6" w:rsidRDefault="00F93A86" w:rsidP="00F93A86">
      <w:pPr>
        <w:pStyle w:val="2"/>
        <w:keepNext w:val="0"/>
        <w:widowControl w:val="0"/>
        <w:ind w:left="142"/>
        <w:rPr>
          <w:rFonts w:ascii="Times New Roman" w:hAnsi="Times New Roman"/>
        </w:rPr>
      </w:pPr>
      <w:r w:rsidRPr="00C926D6">
        <w:rPr>
          <w:rFonts w:ascii="Times New Roman" w:hAnsi="Times New Roman"/>
        </w:rPr>
        <w:t xml:space="preserve"> Показатели прогноза социально-экономического развития Курской области до 2030 года</w:t>
      </w:r>
    </w:p>
    <w:p w:rsidR="00C926D6" w:rsidRPr="0036557A" w:rsidRDefault="00C926D6" w:rsidP="00C926D6">
      <w:pPr>
        <w:ind w:firstLine="709"/>
        <w:rPr>
          <w:rFonts w:ascii="Times New Roman" w:hAnsi="Times New Roman" w:cs="Times New Roman"/>
          <w:sz w:val="22"/>
          <w:szCs w:val="22"/>
          <w:highlight w:val="yellow"/>
          <w:u w:val="single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559"/>
        <w:gridCol w:w="1701"/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C926D6" w:rsidRPr="00D657D8" w:rsidTr="00BE44B4">
        <w:trPr>
          <w:tblHeader/>
          <w:jc w:val="center"/>
        </w:trPr>
        <w:tc>
          <w:tcPr>
            <w:tcW w:w="3545" w:type="dxa"/>
            <w:vMerge w:val="restart"/>
            <w:vAlign w:val="center"/>
          </w:tcPr>
          <w:p w:rsidR="00C926D6" w:rsidRPr="00D657D8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926D6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оказателей</w:t>
            </w:r>
          </w:p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6D6" w:rsidRPr="00D657D8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  <w:tc>
          <w:tcPr>
            <w:tcW w:w="1080" w:type="dxa"/>
            <w:vAlign w:val="center"/>
          </w:tcPr>
          <w:p w:rsidR="00C926D6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C926D6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926D6" w:rsidRPr="00D657D8" w:rsidTr="00BE44B4">
        <w:trPr>
          <w:tblHeader/>
          <w:jc w:val="center"/>
        </w:trPr>
        <w:tc>
          <w:tcPr>
            <w:tcW w:w="3545" w:type="dxa"/>
            <w:vMerge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C926D6" w:rsidRPr="00D657D8" w:rsidTr="00BE44B4">
        <w:trPr>
          <w:jc w:val="center"/>
        </w:trPr>
        <w:tc>
          <w:tcPr>
            <w:tcW w:w="3545" w:type="dxa"/>
            <w:vAlign w:val="center"/>
          </w:tcPr>
          <w:p w:rsidR="00C926D6" w:rsidRPr="00D657D8" w:rsidRDefault="00C926D6" w:rsidP="00BE44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57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Валовой региональный продукт</w:t>
            </w:r>
          </w:p>
        </w:tc>
        <w:tc>
          <w:tcPr>
            <w:tcW w:w="1559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D657D8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Валовой региональный продукт (номинальный объем)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336999,4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362393,8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218C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8C0">
              <w:rPr>
                <w:rFonts w:ascii="Times New Roman" w:hAnsi="Times New Roman" w:cs="Times New Roman"/>
                <w:sz w:val="20"/>
                <w:szCs w:val="20"/>
              </w:rPr>
              <w:t>387577,2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409567,8</w:t>
            </w:r>
          </w:p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441208,9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463441,4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486268,9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504856,1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465433,6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488955,6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507309,7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467199,1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490551,1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511032,7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C59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74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101,9 оценка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Демография  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17180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71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1118,7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7180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71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1121,46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7180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71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1119,1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1111,1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1103,1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1095,59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1088,74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1082,19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1097,84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1093,34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1089,44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1097,84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1093,34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1089,44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F07D04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D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7D04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D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100,25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7D04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D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99,3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99,3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99,4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99,5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99,6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99,5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99,6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FC2BB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C2BB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11,06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C2BB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9,0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8,9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8,9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C2BB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9,9</w:t>
            </w:r>
          </w:p>
        </w:tc>
        <w:tc>
          <w:tcPr>
            <w:tcW w:w="1081" w:type="dxa"/>
            <w:vAlign w:val="center"/>
          </w:tcPr>
          <w:p w:rsidR="00C926D6" w:rsidRPr="00FC2BB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</w:t>
            </w:r>
          </w:p>
        </w:tc>
        <w:tc>
          <w:tcPr>
            <w:tcW w:w="1081" w:type="dxa"/>
            <w:vAlign w:val="center"/>
          </w:tcPr>
          <w:p w:rsidR="00C926D6" w:rsidRPr="00FC2BB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C2BB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9,9</w:t>
            </w:r>
          </w:p>
        </w:tc>
        <w:tc>
          <w:tcPr>
            <w:tcW w:w="1081" w:type="dxa"/>
            <w:vAlign w:val="center"/>
          </w:tcPr>
          <w:p w:rsidR="00C926D6" w:rsidRPr="00FC2BB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</w:t>
            </w:r>
          </w:p>
        </w:tc>
        <w:tc>
          <w:tcPr>
            <w:tcW w:w="1081" w:type="dxa"/>
            <w:vAlign w:val="center"/>
          </w:tcPr>
          <w:p w:rsidR="00C926D6" w:rsidRPr="00FC2BB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16,06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14,4</w:t>
            </w:r>
          </w:p>
        </w:tc>
        <w:tc>
          <w:tcPr>
            <w:tcW w:w="1081" w:type="dxa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14,9</w:t>
            </w:r>
          </w:p>
        </w:tc>
        <w:tc>
          <w:tcPr>
            <w:tcW w:w="1081" w:type="dxa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14,9</w:t>
            </w:r>
          </w:p>
        </w:tc>
        <w:tc>
          <w:tcPr>
            <w:tcW w:w="1081" w:type="dxa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14,3</w:t>
            </w:r>
          </w:p>
        </w:tc>
        <w:tc>
          <w:tcPr>
            <w:tcW w:w="1081" w:type="dxa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14,2</w:t>
            </w:r>
          </w:p>
        </w:tc>
        <w:tc>
          <w:tcPr>
            <w:tcW w:w="1081" w:type="dxa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14,3</w:t>
            </w:r>
          </w:p>
        </w:tc>
        <w:tc>
          <w:tcPr>
            <w:tcW w:w="1081" w:type="dxa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14,2</w:t>
            </w:r>
          </w:p>
        </w:tc>
        <w:tc>
          <w:tcPr>
            <w:tcW w:w="1081" w:type="dxa"/>
            <w:vAlign w:val="center"/>
          </w:tcPr>
          <w:p w:rsidR="00C926D6" w:rsidRPr="008F6B2B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- 4,7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- 5,00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- 5,93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- 6,2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- 5,4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- 6,0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- 6,0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- 6,3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- 4,8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- 4,5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- 4,2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- 4,8</w:t>
            </w: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- 4,5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- 4,2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Рынок труда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Численность рабочей силы (численность экономически активного населения)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571,0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569,6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572,6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573,4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572,3</w:t>
            </w:r>
          </w:p>
        </w:tc>
        <w:tc>
          <w:tcPr>
            <w:tcW w:w="1081" w:type="dxa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572,6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572,6</w:t>
            </w:r>
          </w:p>
        </w:tc>
        <w:tc>
          <w:tcPr>
            <w:tcW w:w="1081" w:type="dxa"/>
          </w:tcPr>
          <w:p w:rsidR="00C926D6" w:rsidRPr="00CC5D27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572,7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572,7</w:t>
            </w:r>
          </w:p>
        </w:tc>
        <w:tc>
          <w:tcPr>
            <w:tcW w:w="1081" w:type="dxa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545,2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549,1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550,8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549,7</w:t>
            </w:r>
          </w:p>
        </w:tc>
        <w:tc>
          <w:tcPr>
            <w:tcW w:w="1081" w:type="dxa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549,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550,0</w:t>
            </w:r>
          </w:p>
        </w:tc>
        <w:tc>
          <w:tcPr>
            <w:tcW w:w="1081" w:type="dxa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550,1</w:t>
            </w:r>
          </w:p>
        </w:tc>
        <w:tc>
          <w:tcPr>
            <w:tcW w:w="1081" w:type="dxa"/>
            <w:vAlign w:val="center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550,2</w:t>
            </w:r>
          </w:p>
        </w:tc>
        <w:tc>
          <w:tcPr>
            <w:tcW w:w="1081" w:type="dxa"/>
          </w:tcPr>
          <w:p w:rsidR="00C926D6" w:rsidRPr="009F111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1C"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519,6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502,5</w:t>
            </w:r>
          </w:p>
        </w:tc>
        <w:tc>
          <w:tcPr>
            <w:tcW w:w="1081" w:type="dxa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1081" w:type="dxa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081" w:type="dxa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493,6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081" w:type="dxa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1081" w:type="dxa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494,3</w:t>
            </w:r>
          </w:p>
        </w:tc>
        <w:tc>
          <w:tcPr>
            <w:tcW w:w="1081" w:type="dxa"/>
            <w:vAlign w:val="center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494,3</w:t>
            </w:r>
          </w:p>
        </w:tc>
        <w:tc>
          <w:tcPr>
            <w:tcW w:w="1081" w:type="dxa"/>
          </w:tcPr>
          <w:p w:rsidR="00C926D6" w:rsidRPr="009538B5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B5">
              <w:rPr>
                <w:rFonts w:ascii="Times New Roman" w:hAnsi="Times New Roman" w:cs="Times New Roman"/>
                <w:sz w:val="20"/>
                <w:szCs w:val="20"/>
              </w:rPr>
              <w:t>494,3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Merge w:val="restart"/>
            <w:vAlign w:val="center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E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E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81" w:type="dxa"/>
            <w:vAlign w:val="center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E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81" w:type="dxa"/>
            <w:vAlign w:val="center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E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081" w:type="dxa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E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1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5425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1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333,1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327,83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324,8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326,98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328,2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328, 8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329,8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329,3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B24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A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Общая численность безработных граждан (по методологии МОТ)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</w:tcPr>
          <w:p w:rsidR="00C926D6" w:rsidRPr="008D50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8D50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D50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E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D50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E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D50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D50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1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081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8D50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E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081" w:type="dxa"/>
            <w:vAlign w:val="center"/>
          </w:tcPr>
          <w:p w:rsidR="00C926D6" w:rsidRPr="008D50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E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081" w:type="dxa"/>
          </w:tcPr>
          <w:p w:rsidR="00C926D6" w:rsidRPr="008D50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E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к экономически активному населению (по методологии МОТ)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81" w:type="dxa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81" w:type="dxa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81" w:type="dxa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81" w:type="dxa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81" w:type="dxa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81" w:type="dxa"/>
            <w:vAlign w:val="center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81" w:type="dxa"/>
          </w:tcPr>
          <w:p w:rsidR="00C926D6" w:rsidRPr="002E787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76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81" w:type="dxa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81" w:type="dxa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081" w:type="dxa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зарегистрированных в органах службы занятости (в среднем за год)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81" w:type="dxa"/>
            <w:vAlign w:val="center"/>
          </w:tcPr>
          <w:p w:rsidR="00C926D6" w:rsidRPr="00EE048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к экономически активному населению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081" w:type="dxa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081" w:type="dxa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081" w:type="dxa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081" w:type="dxa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081" w:type="dxa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081" w:type="dxa"/>
            <w:vAlign w:val="center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81" w:type="dxa"/>
          </w:tcPr>
          <w:p w:rsidR="00C926D6" w:rsidRPr="00D3785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потребительских цен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 (среднегодовой)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107,65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103,71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108,11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103,87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(тарифов) на услуги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105,87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103,06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 (на конец года, к декабрю предыдущего года)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105,81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102,11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104,77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</w:tcPr>
          <w:p w:rsidR="00C926D6" w:rsidRPr="00F83B9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147156"/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Промышленность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trHeight w:val="213"/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382,6</w:t>
            </w:r>
          </w:p>
        </w:tc>
        <w:tc>
          <w:tcPr>
            <w:tcW w:w="1081" w:type="dxa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400,5</w:t>
            </w:r>
          </w:p>
        </w:tc>
        <w:tc>
          <w:tcPr>
            <w:tcW w:w="1081" w:type="dxa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418,5</w:t>
            </w:r>
          </w:p>
        </w:tc>
        <w:tc>
          <w:tcPr>
            <w:tcW w:w="1081" w:type="dxa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081" w:type="dxa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400,5</w:t>
            </w:r>
          </w:p>
        </w:tc>
        <w:tc>
          <w:tcPr>
            <w:tcW w:w="1081" w:type="dxa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419,8</w:t>
            </w:r>
          </w:p>
        </w:tc>
        <w:tc>
          <w:tcPr>
            <w:tcW w:w="1081" w:type="dxa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412,9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081" w:type="dxa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408,1</w:t>
            </w:r>
          </w:p>
        </w:tc>
        <w:tc>
          <w:tcPr>
            <w:tcW w:w="1081" w:type="dxa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432,2</w:t>
            </w:r>
          </w:p>
        </w:tc>
        <w:tc>
          <w:tcPr>
            <w:tcW w:w="1081" w:type="dxa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427,0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оптовых цен промышленной продукции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1081" w:type="dxa"/>
            <w:vAlign w:val="center"/>
          </w:tcPr>
          <w:p w:rsidR="00C926D6" w:rsidRPr="00E616E1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E1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081" w:type="dxa"/>
            <w:vAlign w:val="center"/>
          </w:tcPr>
          <w:p w:rsidR="00C926D6" w:rsidRPr="00E616E1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E1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081" w:type="dxa"/>
            <w:vAlign w:val="center"/>
          </w:tcPr>
          <w:p w:rsidR="00C926D6" w:rsidRPr="00E616E1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E1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081" w:type="dxa"/>
            <w:vAlign w:val="center"/>
          </w:tcPr>
          <w:p w:rsidR="00C926D6" w:rsidRPr="00E616E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E1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  <w:vAlign w:val="center"/>
          </w:tcPr>
          <w:p w:rsidR="00C926D6" w:rsidRPr="00E616E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E1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081" w:type="dxa"/>
            <w:vAlign w:val="center"/>
          </w:tcPr>
          <w:p w:rsidR="00C926D6" w:rsidRPr="00E616E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E1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081" w:type="dxa"/>
            <w:vAlign w:val="center"/>
          </w:tcPr>
          <w:p w:rsidR="00C926D6" w:rsidRPr="00E616E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E1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081" w:type="dxa"/>
            <w:vAlign w:val="center"/>
          </w:tcPr>
          <w:p w:rsidR="00C926D6" w:rsidRPr="00E616E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E1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081" w:type="dxa"/>
            <w:vAlign w:val="center"/>
          </w:tcPr>
          <w:p w:rsidR="00C926D6" w:rsidRPr="00E616E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E1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B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242BE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BE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081" w:type="dxa"/>
            <w:vAlign w:val="center"/>
          </w:tcPr>
          <w:p w:rsidR="00C926D6" w:rsidRPr="003F46CC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6CC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81" w:type="dxa"/>
            <w:vAlign w:val="center"/>
          </w:tcPr>
          <w:p w:rsidR="00C926D6" w:rsidRPr="003F46CC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6CC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081" w:type="dxa"/>
            <w:vAlign w:val="center"/>
          </w:tcPr>
          <w:p w:rsidR="00C926D6" w:rsidRPr="003F46CC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6CC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3F46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CC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081" w:type="dxa"/>
            <w:vAlign w:val="center"/>
          </w:tcPr>
          <w:p w:rsidR="00C926D6" w:rsidRPr="003F46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CC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081" w:type="dxa"/>
            <w:vAlign w:val="center"/>
          </w:tcPr>
          <w:p w:rsidR="00C926D6" w:rsidRPr="003F46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CC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3F46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CC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81" w:type="dxa"/>
            <w:vAlign w:val="center"/>
          </w:tcPr>
          <w:p w:rsidR="00C926D6" w:rsidRPr="003F46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CC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1" w:type="dxa"/>
            <w:vAlign w:val="center"/>
          </w:tcPr>
          <w:p w:rsidR="00C926D6" w:rsidRPr="003F46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CC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добыча полезных ископаемых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обрабатывающие производства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103,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производство пищевых продуктов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9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081" w:type="dxa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081" w:type="dxa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081" w:type="dxa"/>
            <w:vAlign w:val="center"/>
          </w:tcPr>
          <w:p w:rsidR="00C926D6" w:rsidRPr="00715592" w:rsidRDefault="00C926D6" w:rsidP="00BE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92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81" w:type="dxa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обеспечение электрической энергией, газом и паром, кондиционирование воздуха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C926D6" w:rsidRPr="00FA4E7E" w:rsidTr="00BE44B4">
        <w:trPr>
          <w:trHeight w:val="275"/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081" w:type="dxa"/>
            <w:vAlign w:val="center"/>
          </w:tcPr>
          <w:p w:rsidR="00C926D6" w:rsidRPr="00BA0EE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0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bookmarkEnd w:id="2"/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подакцизных товаров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Этиловый спирт из всех видов сырья – подакцизный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тыс. </w:t>
            </w:r>
            <w:proofErr w:type="spellStart"/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22721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13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2721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7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2721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7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2721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7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2721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7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081" w:type="dxa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081" w:type="dxa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081" w:type="dxa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081" w:type="dxa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081" w:type="dxa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081" w:type="dxa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081" w:type="dxa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Пиво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sz w:val="20"/>
                <w:szCs w:val="20"/>
              </w:rPr>
              <w:t>147,88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1081" w:type="dxa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607,7</w:t>
            </w:r>
          </w:p>
        </w:tc>
        <w:tc>
          <w:tcPr>
            <w:tcW w:w="1081" w:type="dxa"/>
            <w:vAlign w:val="bottom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648,8</w:t>
            </w:r>
          </w:p>
        </w:tc>
        <w:tc>
          <w:tcPr>
            <w:tcW w:w="1081" w:type="dxa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607,9</w:t>
            </w:r>
          </w:p>
        </w:tc>
        <w:tc>
          <w:tcPr>
            <w:tcW w:w="1081" w:type="dxa"/>
            <w:vAlign w:val="bottom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649,1</w:t>
            </w:r>
          </w:p>
        </w:tc>
        <w:tc>
          <w:tcPr>
            <w:tcW w:w="1081" w:type="dxa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081" w:type="dxa"/>
            <w:vAlign w:val="bottom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649,2</w:t>
            </w:r>
          </w:p>
        </w:tc>
        <w:tc>
          <w:tcPr>
            <w:tcW w:w="1081" w:type="dxa"/>
          </w:tcPr>
          <w:p w:rsidR="00C926D6" w:rsidRPr="00B55B1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5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4C45F9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подакцизных товаров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Этиловый спирт из всех видов сырья – подакцизный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081" w:type="dxa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081" w:type="dxa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081" w:type="dxa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Пиво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147,88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178,88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sz w:val="20"/>
                <w:szCs w:val="20"/>
              </w:rPr>
              <w:t>576,1</w:t>
            </w: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602,7</w:t>
            </w:r>
          </w:p>
        </w:tc>
        <w:tc>
          <w:tcPr>
            <w:tcW w:w="1081" w:type="dxa"/>
            <w:vAlign w:val="bottom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636,8</w:t>
            </w:r>
          </w:p>
        </w:tc>
        <w:tc>
          <w:tcPr>
            <w:tcW w:w="1081" w:type="dxa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602,9</w:t>
            </w:r>
          </w:p>
        </w:tc>
        <w:tc>
          <w:tcPr>
            <w:tcW w:w="1081" w:type="dxa"/>
            <w:vAlign w:val="bottom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637,1</w:t>
            </w:r>
          </w:p>
        </w:tc>
        <w:tc>
          <w:tcPr>
            <w:tcW w:w="1081" w:type="dxa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603,0</w:t>
            </w:r>
          </w:p>
        </w:tc>
        <w:tc>
          <w:tcPr>
            <w:tcW w:w="1081" w:type="dxa"/>
            <w:vAlign w:val="center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637,2</w:t>
            </w:r>
          </w:p>
        </w:tc>
        <w:tc>
          <w:tcPr>
            <w:tcW w:w="1081" w:type="dxa"/>
          </w:tcPr>
          <w:p w:rsidR="00C926D6" w:rsidRPr="007E27D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объема добычи полезных ископаемых (по видам):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Железные руды черных металлов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добычи руды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49763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48935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49861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99950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102032</w:t>
            </w:r>
          </w:p>
        </w:tc>
        <w:tc>
          <w:tcPr>
            <w:tcW w:w="1081" w:type="dxa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101475</w:t>
            </w:r>
          </w:p>
        </w:tc>
        <w:tc>
          <w:tcPr>
            <w:tcW w:w="1081" w:type="dxa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081" w:type="dxa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101491</w:t>
            </w:r>
          </w:p>
        </w:tc>
        <w:tc>
          <w:tcPr>
            <w:tcW w:w="1081" w:type="dxa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081" w:type="dxa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102556</w:t>
            </w:r>
          </w:p>
        </w:tc>
        <w:tc>
          <w:tcPr>
            <w:tcW w:w="1081" w:type="dxa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  <w:tc>
          <w:tcPr>
            <w:tcW w:w="1081" w:type="dxa"/>
            <w:vAlign w:val="center"/>
          </w:tcPr>
          <w:p w:rsidR="00C926D6" w:rsidRPr="0019181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1A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бедная руда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48305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47271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48170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24627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48701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48039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48055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49120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богатая руда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Окисленные кварциты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56031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49054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50801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74527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51278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081" w:type="dxa"/>
            <w:vAlign w:val="center"/>
          </w:tcPr>
          <w:p w:rsidR="00C926D6" w:rsidRPr="00AE795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5B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Неметаллическое сырье, используемое в строительной  индустрии: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Окисленные кварциты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2605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Общераспространенные полезные ископаемые: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784,6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962,6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792,7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634,2</w:t>
            </w: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081" w:type="dxa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1081" w:type="dxa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679,2</w:t>
            </w:r>
          </w:p>
        </w:tc>
        <w:tc>
          <w:tcPr>
            <w:tcW w:w="1081" w:type="dxa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692,8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706,0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395,47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215,88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1094,77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1108,25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1067,89</w:t>
            </w: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1061,33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1076,5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1091,24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1100,78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1129,99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1120,86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1136,82</w:t>
            </w:r>
          </w:p>
        </w:tc>
        <w:tc>
          <w:tcPr>
            <w:tcW w:w="1081" w:type="dxa"/>
          </w:tcPr>
          <w:p w:rsidR="00C926D6" w:rsidRPr="00104E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E6A">
              <w:rPr>
                <w:rFonts w:ascii="Times New Roman" w:hAnsi="Times New Roman" w:cs="Times New Roman"/>
                <w:sz w:val="20"/>
                <w:szCs w:val="20"/>
              </w:rPr>
              <w:t>1153,16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глина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531,8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427,8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314,9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1081" w:type="dxa"/>
            <w:vAlign w:val="bottom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331,8</w:t>
            </w:r>
          </w:p>
        </w:tc>
        <w:tc>
          <w:tcPr>
            <w:tcW w:w="1081" w:type="dxa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081" w:type="dxa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336,7</w:t>
            </w:r>
          </w:p>
        </w:tc>
        <w:tc>
          <w:tcPr>
            <w:tcW w:w="1081" w:type="dxa"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337,9</w:t>
            </w:r>
          </w:p>
        </w:tc>
        <w:tc>
          <w:tcPr>
            <w:tcW w:w="1081" w:type="dxa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339,8</w:t>
            </w:r>
          </w:p>
        </w:tc>
        <w:tc>
          <w:tcPr>
            <w:tcW w:w="1081" w:type="dxa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1081" w:type="dxa"/>
          </w:tcPr>
          <w:p w:rsidR="00C926D6" w:rsidRPr="003D79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95A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bottom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</w:tcPr>
          <w:p w:rsidR="00C926D6" w:rsidRPr="00234C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</w:t>
            </w:r>
          </w:p>
          <w:p w:rsidR="004C45F9" w:rsidRPr="00FA4E7E" w:rsidRDefault="004C45F9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производства продукции сельского хозяйства в хозяйствах всех категорий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081" w:type="dxa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081" w:type="dxa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1081" w:type="dxa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081" w:type="dxa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081" w:type="dxa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081" w:type="dxa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081" w:type="dxa"/>
            <w:vAlign w:val="center"/>
          </w:tcPr>
          <w:p w:rsidR="00C926D6" w:rsidRPr="005A622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A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81" w:type="dxa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081" w:type="dxa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81" w:type="dxa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81" w:type="dxa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81" w:type="dxa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81" w:type="dxa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81" w:type="dxa"/>
            <w:vAlign w:val="center"/>
          </w:tcPr>
          <w:p w:rsidR="00C926D6" w:rsidRPr="005C08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E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реализации сельскохозяйственной продукции собственного производства сельскохозяйственными организациями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</w:tr>
      <w:tr w:rsidR="00C926D6" w:rsidRPr="001136DC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C926D6" w:rsidRPr="001136DC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C926D6" w:rsidRPr="001136DC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0E15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3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81" w:type="dxa"/>
            <w:vAlign w:val="center"/>
          </w:tcPr>
          <w:p w:rsidR="00C926D6" w:rsidRPr="001136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DC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4387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081" w:type="dxa"/>
            <w:vAlign w:val="bottom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3830</w:t>
            </w:r>
          </w:p>
        </w:tc>
        <w:tc>
          <w:tcPr>
            <w:tcW w:w="1081" w:type="dxa"/>
            <w:vAlign w:val="bottom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3868</w:t>
            </w:r>
          </w:p>
        </w:tc>
        <w:tc>
          <w:tcPr>
            <w:tcW w:w="1081" w:type="dxa"/>
            <w:vAlign w:val="bottom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3907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081" w:type="dxa"/>
            <w:vAlign w:val="bottom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1081" w:type="dxa"/>
            <w:vAlign w:val="bottom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081" w:type="dxa"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5370</w:t>
            </w:r>
          </w:p>
        </w:tc>
        <w:tc>
          <w:tcPr>
            <w:tcW w:w="1081" w:type="dxa"/>
            <w:vAlign w:val="center"/>
          </w:tcPr>
          <w:p w:rsidR="00C926D6" w:rsidRPr="00B8176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1">
              <w:rPr>
                <w:rFonts w:ascii="Times New Roman" w:hAnsi="Times New Roman" w:cs="Times New Roman"/>
                <w:sz w:val="20"/>
                <w:szCs w:val="20"/>
              </w:rPr>
              <w:t>5540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Сахарная свекла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5584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5546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5004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081" w:type="dxa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4372</w:t>
            </w:r>
          </w:p>
        </w:tc>
        <w:tc>
          <w:tcPr>
            <w:tcW w:w="1081" w:type="dxa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081" w:type="dxa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4420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1081" w:type="dxa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1081" w:type="dxa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4570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081" w:type="dxa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4960</w:t>
            </w:r>
          </w:p>
        </w:tc>
        <w:tc>
          <w:tcPr>
            <w:tcW w:w="1081" w:type="dxa"/>
            <w:vAlign w:val="center"/>
          </w:tcPr>
          <w:p w:rsidR="00C926D6" w:rsidRPr="00C876B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876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Скот и птица (на убой в живом весе)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442,2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562,2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568,5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562,2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568,5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276,5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289,9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318,4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318,4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1081" w:type="dxa"/>
            <w:vAlign w:val="center"/>
          </w:tcPr>
          <w:p w:rsidR="00C926D6" w:rsidRPr="0090185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5A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Инвестиции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капитал, в ценах соответствующих лет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081" w:type="dxa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081" w:type="dxa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081" w:type="dxa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 к предыдущему году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81" w:type="dxa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081" w:type="dxa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1" w:type="dxa"/>
            <w:vAlign w:val="center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81" w:type="dxa"/>
          </w:tcPr>
          <w:p w:rsidR="00C926D6" w:rsidRPr="00661C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4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217B3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17B3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A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17B3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217B3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A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123,3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127,3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131,4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124,2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136,3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126,3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135,1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143,9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 (за исключением бюджетных средств) к предыдущему году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BF6DC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C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F6DC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C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F6DC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C1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BF6DC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C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102,9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102,8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81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81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81" w:type="dxa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81" w:type="dxa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7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926D6" w:rsidRPr="00E5107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51,99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56,50</w:t>
            </w: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58,36</w:t>
            </w:r>
          </w:p>
        </w:tc>
        <w:tc>
          <w:tcPr>
            <w:tcW w:w="1081" w:type="dxa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1081" w:type="dxa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58,75</w:t>
            </w: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67,75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081" w:type="dxa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81" w:type="dxa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81" w:type="dxa"/>
            <w:vAlign w:val="center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81" w:type="dxa"/>
          </w:tcPr>
          <w:p w:rsidR="00C926D6" w:rsidRPr="007E7D8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81" w:type="dxa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81" w:type="dxa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81" w:type="dxa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 жилых домов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567,3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586,7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590,5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594,8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669,4</w:t>
            </w: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1081" w:type="dxa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643,1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1081" w:type="dxa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734,8</w:t>
            </w:r>
          </w:p>
        </w:tc>
        <w:tc>
          <w:tcPr>
            <w:tcW w:w="1081" w:type="dxa"/>
            <w:vAlign w:val="center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1081" w:type="dxa"/>
          </w:tcPr>
          <w:p w:rsidR="00C926D6" w:rsidRPr="00C806E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D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к предыдущему году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1081" w:type="dxa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81" w:type="dxa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081" w:type="dxa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081" w:type="dxa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81" w:type="dxa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081" w:type="dxa"/>
            <w:vAlign w:val="center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081" w:type="dxa"/>
          </w:tcPr>
          <w:p w:rsidR="00C926D6" w:rsidRPr="0085626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6C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Потребительский рынок товаров и услуг</w:t>
            </w:r>
          </w:p>
          <w:p w:rsidR="004C45F9" w:rsidRDefault="004C45F9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5F9" w:rsidRPr="00FA4E7E" w:rsidRDefault="004C45F9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213,3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228,7</w:t>
            </w: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1081" w:type="dxa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267,9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240,9</w:t>
            </w: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254,6</w:t>
            </w:r>
          </w:p>
        </w:tc>
        <w:tc>
          <w:tcPr>
            <w:tcW w:w="1081" w:type="dxa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269,3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256,6</w:t>
            </w:r>
          </w:p>
        </w:tc>
        <w:tc>
          <w:tcPr>
            <w:tcW w:w="1081" w:type="dxa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</w:tr>
      <w:tr w:rsidR="00C926D6" w:rsidRPr="00FA4E7E" w:rsidTr="00BE44B4">
        <w:trPr>
          <w:trHeight w:val="187"/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81" w:type="dxa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81" w:type="dxa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81" w:type="dxa"/>
            <w:vAlign w:val="bottom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081" w:type="dxa"/>
          </w:tcPr>
          <w:p w:rsidR="00C926D6" w:rsidRPr="00F0386A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6A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81" w:type="dxa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81" w:type="dxa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81" w:type="dxa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81" w:type="dxa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81" w:type="dxa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81" w:type="dxa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81" w:type="dxa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81" w:type="dxa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81" w:type="dxa"/>
            <w:vAlign w:val="bottom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81" w:type="dxa"/>
          </w:tcPr>
          <w:p w:rsidR="00C926D6" w:rsidRPr="003B08D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D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1" w:type="dxa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771DA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81" w:type="dxa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C926D6" w:rsidRPr="00771DA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081" w:type="dxa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C926D6" w:rsidRPr="00771DA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81" w:type="dxa"/>
            <w:vAlign w:val="bottom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81" w:type="dxa"/>
          </w:tcPr>
          <w:p w:rsidR="00C926D6" w:rsidRPr="00771DA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A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81" w:type="dxa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081" w:type="dxa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81" w:type="dxa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081" w:type="dxa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081" w:type="dxa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81" w:type="dxa"/>
            <w:vAlign w:val="bottom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081" w:type="dxa"/>
          </w:tcPr>
          <w:p w:rsidR="00C926D6" w:rsidRPr="00967B8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82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 на предприятиях малого и среднего предпринимательства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115,88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118,44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081" w:type="dxa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081" w:type="dxa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081" w:type="dxa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1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102,21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104,02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100,65</w:t>
            </w: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96,77</w:t>
            </w: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100,42</w:t>
            </w:r>
          </w:p>
        </w:tc>
        <w:tc>
          <w:tcPr>
            <w:tcW w:w="1081" w:type="dxa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101,61</w:t>
            </w:r>
          </w:p>
        </w:tc>
        <w:tc>
          <w:tcPr>
            <w:tcW w:w="1081" w:type="dxa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103,17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101,61</w:t>
            </w:r>
          </w:p>
        </w:tc>
        <w:tc>
          <w:tcPr>
            <w:tcW w:w="1081" w:type="dxa"/>
            <w:vAlign w:val="center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104,76</w:t>
            </w:r>
          </w:p>
        </w:tc>
        <w:tc>
          <w:tcPr>
            <w:tcW w:w="1081" w:type="dxa"/>
          </w:tcPr>
          <w:p w:rsidR="00C926D6" w:rsidRPr="004C3B3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37">
              <w:rPr>
                <w:rFonts w:ascii="Times New Roman" w:hAnsi="Times New Roman" w:cs="Times New Roman"/>
                <w:sz w:val="20"/>
                <w:szCs w:val="20"/>
              </w:rPr>
              <w:t>103,79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 численности работников на предприятиях малого и среднего предпринимательства в общей численности занятого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1081" w:type="dxa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081" w:type="dxa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21,92</w:t>
            </w:r>
          </w:p>
        </w:tc>
        <w:tc>
          <w:tcPr>
            <w:tcW w:w="1081" w:type="dxa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22,01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1081" w:type="dxa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22,91</w:t>
            </w:r>
          </w:p>
        </w:tc>
        <w:tc>
          <w:tcPr>
            <w:tcW w:w="1081" w:type="dxa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23,64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1" w:type="dxa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081" w:type="dxa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24,89</w:t>
            </w:r>
          </w:p>
        </w:tc>
      </w:tr>
      <w:tr w:rsidR="00C926D6" w:rsidRPr="00FA4E7E" w:rsidTr="00BE44B4">
        <w:trPr>
          <w:trHeight w:val="231"/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4C45F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результаты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Прибыль прибыльных организаций для целей бухгалтерского учета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68971,9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68218,97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77325,3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477ED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C">
              <w:rPr>
                <w:rFonts w:ascii="Times New Roman" w:hAnsi="Times New Roman" w:cs="Times New Roman"/>
                <w:sz w:val="20"/>
                <w:szCs w:val="20"/>
              </w:rPr>
              <w:t>101588,9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108911,0</w:t>
            </w: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73844,1</w:t>
            </w: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75999,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78041,0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76293,6</w:t>
            </w: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78882,8</w:t>
            </w: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81646,9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77183,7</w:t>
            </w: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80045,6</w:t>
            </w: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83484,9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из нее по разделам: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сельское, лесное хозяйство, охота, рыболовство и рыбоводство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774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D4">
              <w:rPr>
                <w:rFonts w:ascii="Times New Roman" w:hAnsi="Times New Roman" w:cs="Times New Roman"/>
                <w:sz w:val="20"/>
                <w:szCs w:val="20"/>
              </w:rPr>
              <w:t>17993,3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774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D4">
              <w:rPr>
                <w:rFonts w:ascii="Times New Roman" w:hAnsi="Times New Roman" w:cs="Times New Roman"/>
                <w:sz w:val="20"/>
                <w:szCs w:val="20"/>
              </w:rPr>
              <w:t>19102,2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774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D4">
              <w:rPr>
                <w:rFonts w:ascii="Times New Roman" w:hAnsi="Times New Roman" w:cs="Times New Roman"/>
                <w:sz w:val="20"/>
                <w:szCs w:val="20"/>
              </w:rPr>
              <w:t>15699,1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774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D4">
              <w:rPr>
                <w:rFonts w:ascii="Times New Roman" w:hAnsi="Times New Roman" w:cs="Times New Roman"/>
                <w:sz w:val="20"/>
                <w:szCs w:val="20"/>
              </w:rPr>
              <w:t>24207,9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774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D4">
              <w:rPr>
                <w:rFonts w:ascii="Times New Roman" w:hAnsi="Times New Roman" w:cs="Times New Roman"/>
                <w:sz w:val="20"/>
                <w:szCs w:val="20"/>
              </w:rPr>
              <w:t>20901,5</w:t>
            </w:r>
          </w:p>
        </w:tc>
        <w:tc>
          <w:tcPr>
            <w:tcW w:w="1081" w:type="dxa"/>
            <w:vAlign w:val="center"/>
          </w:tcPr>
          <w:p w:rsidR="00C926D6" w:rsidRPr="009774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D4">
              <w:rPr>
                <w:rFonts w:ascii="Times New Roman" w:hAnsi="Times New Roman" w:cs="Times New Roman"/>
                <w:sz w:val="20"/>
                <w:szCs w:val="20"/>
              </w:rPr>
              <w:t>21448,6</w:t>
            </w:r>
          </w:p>
        </w:tc>
        <w:tc>
          <w:tcPr>
            <w:tcW w:w="1081" w:type="dxa"/>
            <w:vAlign w:val="center"/>
          </w:tcPr>
          <w:p w:rsidR="00C926D6" w:rsidRPr="00051F4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42">
              <w:rPr>
                <w:rFonts w:ascii="Times New Roman" w:hAnsi="Times New Roman" w:cs="Times New Roman"/>
                <w:sz w:val="20"/>
                <w:szCs w:val="20"/>
              </w:rPr>
              <w:t>22413,7</w:t>
            </w:r>
          </w:p>
        </w:tc>
        <w:tc>
          <w:tcPr>
            <w:tcW w:w="1081" w:type="dxa"/>
          </w:tcPr>
          <w:p w:rsidR="00C926D6" w:rsidRPr="00051F4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42">
              <w:rPr>
                <w:rFonts w:ascii="Times New Roman" w:hAnsi="Times New Roman" w:cs="Times New Roman"/>
                <w:sz w:val="20"/>
                <w:szCs w:val="20"/>
              </w:rPr>
              <w:t>23054,1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774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D4">
              <w:rPr>
                <w:rFonts w:ascii="Times New Roman" w:hAnsi="Times New Roman" w:cs="Times New Roman"/>
                <w:sz w:val="20"/>
                <w:szCs w:val="20"/>
              </w:rPr>
              <w:t>22290,1</w:t>
            </w:r>
          </w:p>
        </w:tc>
        <w:tc>
          <w:tcPr>
            <w:tcW w:w="1081" w:type="dxa"/>
            <w:vAlign w:val="center"/>
          </w:tcPr>
          <w:p w:rsidR="00C926D6" w:rsidRPr="00051F4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42">
              <w:rPr>
                <w:rFonts w:ascii="Times New Roman" w:hAnsi="Times New Roman" w:cs="Times New Roman"/>
                <w:sz w:val="20"/>
                <w:szCs w:val="20"/>
              </w:rPr>
              <w:t>23346,5</w:t>
            </w:r>
          </w:p>
        </w:tc>
        <w:tc>
          <w:tcPr>
            <w:tcW w:w="1081" w:type="dxa"/>
          </w:tcPr>
          <w:p w:rsidR="00C926D6" w:rsidRPr="00051F4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42">
              <w:rPr>
                <w:rFonts w:ascii="Times New Roman" w:hAnsi="Times New Roman" w:cs="Times New Roman"/>
                <w:sz w:val="20"/>
                <w:szCs w:val="20"/>
              </w:rPr>
              <w:t>24800,5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9774D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D4">
              <w:rPr>
                <w:rFonts w:ascii="Times New Roman" w:hAnsi="Times New Roman" w:cs="Times New Roman"/>
                <w:sz w:val="20"/>
                <w:szCs w:val="20"/>
              </w:rPr>
              <w:t>22856,0</w:t>
            </w:r>
          </w:p>
        </w:tc>
        <w:tc>
          <w:tcPr>
            <w:tcW w:w="1081" w:type="dxa"/>
            <w:vAlign w:val="center"/>
          </w:tcPr>
          <w:p w:rsidR="00C926D6" w:rsidRPr="00051F4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42">
              <w:rPr>
                <w:rFonts w:ascii="Times New Roman" w:hAnsi="Times New Roman" w:cs="Times New Roman"/>
                <w:sz w:val="20"/>
                <w:szCs w:val="20"/>
              </w:rPr>
              <w:t>24059,0</w:t>
            </w:r>
          </w:p>
        </w:tc>
        <w:tc>
          <w:tcPr>
            <w:tcW w:w="1081" w:type="dxa"/>
          </w:tcPr>
          <w:p w:rsidR="00C926D6" w:rsidRPr="00051F42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42">
              <w:rPr>
                <w:rFonts w:ascii="Times New Roman" w:hAnsi="Times New Roman" w:cs="Times New Roman"/>
                <w:sz w:val="20"/>
                <w:szCs w:val="20"/>
              </w:rPr>
              <w:t>25522,7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жизни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работников организаций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95619,2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99634,0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106218,4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116 677,3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125 942,9</w:t>
            </w:r>
          </w:p>
        </w:tc>
        <w:tc>
          <w:tcPr>
            <w:tcW w:w="1081" w:type="dxa"/>
            <w:vAlign w:val="bottom"/>
          </w:tcPr>
          <w:p w:rsidR="00C926D6" w:rsidRPr="004E6AB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"/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133 328,6</w:t>
            </w:r>
            <w:bookmarkEnd w:id="3"/>
          </w:p>
        </w:tc>
        <w:tc>
          <w:tcPr>
            <w:tcW w:w="1081" w:type="dxa"/>
            <w:vAlign w:val="bottom"/>
          </w:tcPr>
          <w:p w:rsidR="00C926D6" w:rsidRPr="004E6AB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3"/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140 981,9</w:t>
            </w:r>
            <w:bookmarkEnd w:id="4"/>
          </w:p>
        </w:tc>
        <w:tc>
          <w:tcPr>
            <w:tcW w:w="1081" w:type="dxa"/>
            <w:vAlign w:val="bottom"/>
          </w:tcPr>
          <w:p w:rsidR="00C926D6" w:rsidRPr="004E6AB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4"/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148 583,9</w:t>
            </w:r>
            <w:bookmarkEnd w:id="5"/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4E6AB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2"/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134 564,2</w:t>
            </w:r>
            <w:bookmarkEnd w:id="6"/>
          </w:p>
        </w:tc>
        <w:tc>
          <w:tcPr>
            <w:tcW w:w="1081" w:type="dxa"/>
            <w:vAlign w:val="center"/>
          </w:tcPr>
          <w:p w:rsidR="00C926D6" w:rsidRPr="004E6AB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143 422,5</w:t>
            </w:r>
          </w:p>
        </w:tc>
        <w:tc>
          <w:tcPr>
            <w:tcW w:w="1081" w:type="dxa"/>
            <w:vAlign w:val="center"/>
          </w:tcPr>
          <w:p w:rsidR="00C926D6" w:rsidRPr="004E6AB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5"/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152 162,5</w:t>
            </w:r>
            <w:bookmarkEnd w:id="7"/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4E6AB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135 450,5</w:t>
            </w:r>
          </w:p>
        </w:tc>
        <w:tc>
          <w:tcPr>
            <w:tcW w:w="1081" w:type="dxa"/>
            <w:vAlign w:val="bottom"/>
          </w:tcPr>
          <w:p w:rsidR="00C926D6" w:rsidRPr="004E6AB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145 053,2</w:t>
            </w:r>
          </w:p>
        </w:tc>
        <w:tc>
          <w:tcPr>
            <w:tcW w:w="1081" w:type="dxa"/>
            <w:vAlign w:val="bottom"/>
          </w:tcPr>
          <w:p w:rsidR="00C926D6" w:rsidRPr="004E6AB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154 483,9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(снижения) 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86F74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74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заработная плата работников организаций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23 921,2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25 326,6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27 274,1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29 937,1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097,6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33 858,4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35 733,9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37 618,9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34 103,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36 235,6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38 375,9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34 275,9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36 583,4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38 883,8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81" w:type="dxa"/>
            <w:vAlign w:val="bottom"/>
          </w:tcPr>
          <w:p w:rsidR="00C926D6" w:rsidRPr="00AA634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40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C926D6" w:rsidRPr="00FA4E7E" w:rsidTr="00BE44B4">
        <w:trPr>
          <w:trHeight w:val="337"/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22 202,0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22 638,0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23 785,0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26 087,0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28190,0</w:t>
            </w: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29 504,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31 138,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32 781,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26D6" w:rsidRPr="00FA4E7E" w:rsidTr="00BE44B4">
        <w:trPr>
          <w:trHeight w:val="271"/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29 717,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31 576,0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33 441,1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29 868,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31 879,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33 883,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81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81" w:type="dxa"/>
            <w:vAlign w:val="bottom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81" w:type="dxa"/>
            <w:vAlign w:val="bottom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81" w:type="dxa"/>
            <w:vAlign w:val="bottom"/>
          </w:tcPr>
          <w:p w:rsidR="00C926D6" w:rsidRPr="009E5EAB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AB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81" w:type="dxa"/>
            <w:vAlign w:val="bottom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Величина прожиточного минимума:</w:t>
            </w:r>
          </w:p>
        </w:tc>
        <w:tc>
          <w:tcPr>
            <w:tcW w:w="1559" w:type="dxa"/>
            <w:vAlign w:val="center"/>
          </w:tcPr>
          <w:p w:rsidR="00C926D6" w:rsidRPr="00FA4E7E" w:rsidRDefault="00C926D6" w:rsidP="00BE44B4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- в расчете на душу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8312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8352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8751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9 061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9 586</w:t>
            </w: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9 969</w:t>
            </w: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10 368</w:t>
            </w:r>
          </w:p>
        </w:tc>
        <w:tc>
          <w:tcPr>
            <w:tcW w:w="1081" w:type="dxa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10 783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9 940</w:t>
            </w: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10 338</w:t>
            </w:r>
          </w:p>
        </w:tc>
        <w:tc>
          <w:tcPr>
            <w:tcW w:w="1081" w:type="dxa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10 751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9 940</w:t>
            </w: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10 338</w:t>
            </w:r>
          </w:p>
        </w:tc>
        <w:tc>
          <w:tcPr>
            <w:tcW w:w="1081" w:type="dxa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10 751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для трудоспособного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8934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8961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9411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9 720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10 283</w:t>
            </w: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10 695</w:t>
            </w: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11 122</w:t>
            </w:r>
          </w:p>
        </w:tc>
        <w:tc>
          <w:tcPr>
            <w:tcW w:w="1081" w:type="dxa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11 567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10 664</w:t>
            </w: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11 090</w:t>
            </w:r>
          </w:p>
        </w:tc>
        <w:tc>
          <w:tcPr>
            <w:tcW w:w="1081" w:type="dxa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11 534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10 664</w:t>
            </w:r>
          </w:p>
        </w:tc>
        <w:tc>
          <w:tcPr>
            <w:tcW w:w="1081" w:type="dxa"/>
            <w:vAlign w:val="center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11 090</w:t>
            </w:r>
          </w:p>
        </w:tc>
        <w:tc>
          <w:tcPr>
            <w:tcW w:w="1081" w:type="dxa"/>
          </w:tcPr>
          <w:p w:rsidR="00C926D6" w:rsidRPr="001924D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0">
              <w:rPr>
                <w:rFonts w:ascii="Times New Roman" w:hAnsi="Times New Roman" w:cs="Times New Roman"/>
                <w:sz w:val="20"/>
                <w:szCs w:val="20"/>
              </w:rPr>
              <w:t>11 534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для пенсионеров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6925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6959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7270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7 528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7 964</w:t>
            </w:r>
          </w:p>
        </w:tc>
        <w:tc>
          <w:tcPr>
            <w:tcW w:w="1081" w:type="dxa"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8 283</w:t>
            </w:r>
          </w:p>
        </w:tc>
        <w:tc>
          <w:tcPr>
            <w:tcW w:w="1081" w:type="dxa"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8 614</w:t>
            </w:r>
          </w:p>
        </w:tc>
        <w:tc>
          <w:tcPr>
            <w:tcW w:w="1081" w:type="dxa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8 959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8 259</w:t>
            </w:r>
          </w:p>
        </w:tc>
        <w:tc>
          <w:tcPr>
            <w:tcW w:w="1081" w:type="dxa"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8 589</w:t>
            </w:r>
          </w:p>
        </w:tc>
        <w:tc>
          <w:tcPr>
            <w:tcW w:w="1081" w:type="dxa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8 933</w:t>
            </w:r>
          </w:p>
        </w:tc>
      </w:tr>
      <w:tr w:rsidR="00C926D6" w:rsidRPr="00FA4E7E" w:rsidTr="00BE44B4">
        <w:trPr>
          <w:trHeight w:val="260"/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8259</w:t>
            </w:r>
          </w:p>
        </w:tc>
        <w:tc>
          <w:tcPr>
            <w:tcW w:w="1081" w:type="dxa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8589</w:t>
            </w:r>
          </w:p>
        </w:tc>
        <w:tc>
          <w:tcPr>
            <w:tcW w:w="1081" w:type="dxa"/>
          </w:tcPr>
          <w:p w:rsidR="00C926D6" w:rsidRPr="008508B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B8">
              <w:rPr>
                <w:rFonts w:ascii="Times New Roman" w:hAnsi="Times New Roman" w:cs="Times New Roman"/>
                <w:sz w:val="20"/>
                <w:szCs w:val="20"/>
              </w:rPr>
              <w:t>8 933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для детей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8255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8352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8700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9 107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9 635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10 020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10 421</w:t>
            </w:r>
          </w:p>
        </w:tc>
        <w:tc>
          <w:tcPr>
            <w:tcW w:w="1081" w:type="dxa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10 838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9 991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10 391</w:t>
            </w:r>
          </w:p>
        </w:tc>
        <w:tc>
          <w:tcPr>
            <w:tcW w:w="1081" w:type="dxa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10 807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9 991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10 391</w:t>
            </w:r>
          </w:p>
        </w:tc>
        <w:tc>
          <w:tcPr>
            <w:tcW w:w="1081" w:type="dxa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10 807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с денежными доходами ниже прожиточного минимума, 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общей численности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1080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081" w:type="dxa"/>
            <w:vMerge w:val="restart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080" w:type="dxa"/>
            <w:vMerge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926D6" w:rsidRPr="00FA4E7E" w:rsidTr="00BE44B4">
        <w:trPr>
          <w:jc w:val="center"/>
        </w:trPr>
        <w:tc>
          <w:tcPr>
            <w:tcW w:w="3545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80" w:type="dxa"/>
            <w:vMerge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81" w:type="dxa"/>
            <w:vAlign w:val="center"/>
          </w:tcPr>
          <w:p w:rsidR="00C926D6" w:rsidRPr="00D0143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3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</w:tbl>
    <w:p w:rsidR="00C926D6" w:rsidRDefault="00C926D6" w:rsidP="00C926D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4C45F9" w:rsidRDefault="004C45F9" w:rsidP="00C926D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4C45F9" w:rsidRDefault="004C45F9" w:rsidP="00C926D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4C45F9" w:rsidRDefault="004C45F9" w:rsidP="00C926D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4C45F9" w:rsidRDefault="004C45F9" w:rsidP="00C926D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4C45F9" w:rsidRDefault="004C45F9" w:rsidP="00C926D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4C45F9" w:rsidRDefault="004C45F9" w:rsidP="00C926D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4C45F9" w:rsidRDefault="004C45F9" w:rsidP="00C926D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4C45F9" w:rsidRPr="00FA4E7E" w:rsidRDefault="004C45F9" w:rsidP="00C926D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C926D6" w:rsidRPr="00FA4E7E" w:rsidRDefault="00C926D6" w:rsidP="00C926D6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560"/>
        <w:gridCol w:w="1701"/>
        <w:gridCol w:w="992"/>
        <w:gridCol w:w="1134"/>
        <w:gridCol w:w="1134"/>
        <w:gridCol w:w="992"/>
        <w:gridCol w:w="1134"/>
        <w:gridCol w:w="1134"/>
        <w:gridCol w:w="992"/>
        <w:gridCol w:w="1134"/>
      </w:tblGrid>
      <w:tr w:rsidR="00C926D6" w:rsidRPr="00FA4E7E" w:rsidTr="00C926D6">
        <w:trPr>
          <w:tblHeader/>
        </w:trPr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показателей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  <w:tc>
          <w:tcPr>
            <w:tcW w:w="8646" w:type="dxa"/>
            <w:gridSpan w:val="8"/>
            <w:vAlign w:val="center"/>
          </w:tcPr>
          <w:p w:rsidR="00C926D6" w:rsidRPr="008D107F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7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C926D6" w:rsidRPr="00FA4E7E" w:rsidTr="00C926D6">
        <w:trPr>
          <w:tblHeader/>
        </w:trPr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8D107F" w:rsidRDefault="00C926D6" w:rsidP="00BE44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7F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C926D6" w:rsidRPr="008D107F" w:rsidRDefault="00C926D6" w:rsidP="00BE44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7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926D6" w:rsidRPr="008D107F" w:rsidRDefault="00C926D6" w:rsidP="00BE44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7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C926D6" w:rsidRPr="008D107F" w:rsidRDefault="00C926D6" w:rsidP="00BE44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7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C926D6" w:rsidRPr="008D107F" w:rsidRDefault="00C926D6" w:rsidP="00BE44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7F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134" w:type="dxa"/>
          </w:tcPr>
          <w:p w:rsidR="00C926D6" w:rsidRPr="008D107F" w:rsidRDefault="00C926D6" w:rsidP="00BE44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7F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992" w:type="dxa"/>
          </w:tcPr>
          <w:p w:rsidR="00C926D6" w:rsidRPr="008D107F" w:rsidRDefault="00C926D6" w:rsidP="00BE44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7F"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1134" w:type="dxa"/>
          </w:tcPr>
          <w:p w:rsidR="00C926D6" w:rsidRPr="008D107F" w:rsidRDefault="00C926D6" w:rsidP="00BE44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7F"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Валовой региональный продукт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467A75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926D6" w:rsidRPr="00467A75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926D6" w:rsidRPr="00467A75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</w:tcPr>
          <w:p w:rsidR="00C926D6" w:rsidRPr="00467A75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926D6" w:rsidRPr="00467A75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926D6" w:rsidRPr="00467A75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</w:tcPr>
          <w:p w:rsidR="00C926D6" w:rsidRPr="00467A75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926D6" w:rsidRPr="00467A75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Валовой региональный продукт (номинальный объем)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536763,8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560863,2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591677,1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618392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650610,3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690168,4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721523,3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771091,5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539875,1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564707,5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595844,7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623841,7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656692,9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696058,5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727237,8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776027,8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545933,6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572135,8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607187,6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636768,4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673795,1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714942,7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750833,1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801939,3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Демография 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1075,54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1068,97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1062,59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1056,34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1050,39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1044,74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1039,4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1034,34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1086,09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1083,29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1080,99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1079,19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1077,89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1076,99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1076,5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1076,44</w:t>
            </w:r>
          </w:p>
        </w:tc>
      </w:tr>
      <w:tr w:rsidR="00C926D6" w:rsidRPr="00FA4E7E" w:rsidTr="00C926D6">
        <w:trPr>
          <w:trHeight w:val="297"/>
        </w:trPr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1086,09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1083,29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1080,99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1079,19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1077,89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1076,99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1076,5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1076,44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-7,0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-7,1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-6,9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-6,7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-6,1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 w:rsidRPr="000011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-2,8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 w:rsidRPr="000011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-2,8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Default="00C926D6" w:rsidP="00BE44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Рынок труда</w:t>
            </w:r>
          </w:p>
          <w:p w:rsidR="004C45F9" w:rsidRPr="00FA4E7E" w:rsidRDefault="004C45F9" w:rsidP="00BE44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Численность рабочей силы (численность экономически активного населения)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572,4</w:t>
            </w:r>
          </w:p>
        </w:tc>
        <w:tc>
          <w:tcPr>
            <w:tcW w:w="1134" w:type="dxa"/>
            <w:vAlign w:val="center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572,6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572,9</w:t>
            </w:r>
          </w:p>
        </w:tc>
        <w:tc>
          <w:tcPr>
            <w:tcW w:w="992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573,0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573,2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573,4</w:t>
            </w:r>
          </w:p>
        </w:tc>
        <w:tc>
          <w:tcPr>
            <w:tcW w:w="992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573,6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572,6</w:t>
            </w:r>
          </w:p>
        </w:tc>
        <w:tc>
          <w:tcPr>
            <w:tcW w:w="1134" w:type="dxa"/>
            <w:vAlign w:val="center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572,9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573,0</w:t>
            </w:r>
          </w:p>
        </w:tc>
        <w:tc>
          <w:tcPr>
            <w:tcW w:w="992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573,2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573,4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573,6</w:t>
            </w:r>
          </w:p>
        </w:tc>
        <w:tc>
          <w:tcPr>
            <w:tcW w:w="992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573,7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572,9</w:t>
            </w:r>
          </w:p>
        </w:tc>
        <w:tc>
          <w:tcPr>
            <w:tcW w:w="1134" w:type="dxa"/>
            <w:vAlign w:val="center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573,0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573,2</w:t>
            </w:r>
          </w:p>
        </w:tc>
        <w:tc>
          <w:tcPr>
            <w:tcW w:w="992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573,4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573,6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573,7</w:t>
            </w:r>
          </w:p>
        </w:tc>
        <w:tc>
          <w:tcPr>
            <w:tcW w:w="992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573,8</w:t>
            </w:r>
          </w:p>
        </w:tc>
        <w:tc>
          <w:tcPr>
            <w:tcW w:w="1134" w:type="dxa"/>
          </w:tcPr>
          <w:p w:rsidR="00C926D6" w:rsidRPr="002B7555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75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573,9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549,9</w:t>
            </w:r>
          </w:p>
        </w:tc>
        <w:tc>
          <w:tcPr>
            <w:tcW w:w="1134" w:type="dxa"/>
            <w:vAlign w:val="center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550,1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550,4</w:t>
            </w:r>
          </w:p>
        </w:tc>
        <w:tc>
          <w:tcPr>
            <w:tcW w:w="992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550,8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551,1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551,4</w:t>
            </w:r>
          </w:p>
        </w:tc>
        <w:tc>
          <w:tcPr>
            <w:tcW w:w="992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551,7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550,2</w:t>
            </w:r>
          </w:p>
        </w:tc>
        <w:tc>
          <w:tcPr>
            <w:tcW w:w="1134" w:type="dxa"/>
            <w:vAlign w:val="center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550,7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550,6</w:t>
            </w:r>
          </w:p>
        </w:tc>
        <w:tc>
          <w:tcPr>
            <w:tcW w:w="992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551,1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551,4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551,7</w:t>
            </w:r>
          </w:p>
        </w:tc>
        <w:tc>
          <w:tcPr>
            <w:tcW w:w="992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552,0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550,7</w:t>
            </w:r>
          </w:p>
        </w:tc>
        <w:tc>
          <w:tcPr>
            <w:tcW w:w="1134" w:type="dxa"/>
            <w:vAlign w:val="center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550,9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551,1</w:t>
            </w:r>
          </w:p>
        </w:tc>
        <w:tc>
          <w:tcPr>
            <w:tcW w:w="992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551,4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551,7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551,9</w:t>
            </w:r>
          </w:p>
        </w:tc>
        <w:tc>
          <w:tcPr>
            <w:tcW w:w="992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552,0</w:t>
            </w:r>
          </w:p>
        </w:tc>
        <w:tc>
          <w:tcPr>
            <w:tcW w:w="1134" w:type="dxa"/>
          </w:tcPr>
          <w:p w:rsidR="00C926D6" w:rsidRPr="008102F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552,1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493,6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493,7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493,7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493,7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493,8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494,0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494,2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494,3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494,6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494,8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329,3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330,5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330,6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330,7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330,8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330,9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331,5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332,3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100,03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100,03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100,06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Общая численность безработных граждан (по методологии МОТ)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21,82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к экономически активному населению (по методологии МОТ)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791F7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7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vAlign w:val="center"/>
          </w:tcPr>
          <w:p w:rsidR="00C926D6" w:rsidRPr="00791F7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7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C926D6" w:rsidRPr="00791F7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7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C926D6" w:rsidRPr="00791F7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C926D6" w:rsidRPr="00791F7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7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C926D6" w:rsidRPr="00791F7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7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C926D6" w:rsidRPr="00791F7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7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C926D6" w:rsidRPr="00791F7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7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зарегистрированных в органах службы занятости (в среднем за год)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vAlign w:val="center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  <w:vAlign w:val="center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C926D6" w:rsidRPr="00C718E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к экономически активному населению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992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992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992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92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BE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потребительских цен</w:t>
            </w:r>
          </w:p>
          <w:p w:rsidR="004C45F9" w:rsidRDefault="004C45F9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C45F9" w:rsidRPr="00FA4E7E" w:rsidRDefault="004C45F9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26D6" w:rsidRPr="009055B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 (среднегодовой)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(тарифов) на услуги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 (на конец года, к декабрю предыдущего года)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926D6" w:rsidRPr="00D75C39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3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Промышленность</w:t>
            </w:r>
          </w:p>
          <w:p w:rsidR="004C45F9" w:rsidRPr="00FA4E7E" w:rsidRDefault="004C45F9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rPr>
          <w:trHeight w:val="213"/>
        </w:trPr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607,5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611,3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640,9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оптовых цен промышленной продукции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добыча полезных ископаемых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обрабатывающие производства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производство пищевых продуктов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FD592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C926D6" w:rsidRPr="00DA3BC7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обеспечение электрической энергией, газом и паром, кондиционирование воздуха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DA3BC7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C926D6" w:rsidRPr="00DA3BC7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C926D6" w:rsidRPr="00DA3BC7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DA3BC7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DA3BC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C926D6" w:rsidRPr="00DA3BC7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6D6" w:rsidRPr="00DA3BC7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BC7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подакцизных товаров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Этиловый спирт из всех видов сырья – подакцизный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тыс. </w:t>
            </w:r>
            <w:proofErr w:type="spellStart"/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Целевой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Пиво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650,2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650,2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650,3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650,3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650,3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подакцизных товаров</w:t>
            </w:r>
          </w:p>
          <w:p w:rsidR="004C45F9" w:rsidRPr="00FA4E7E" w:rsidRDefault="004C45F9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Этиловый спирт из всех видов сырья – подакцизный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  <w:tc>
          <w:tcPr>
            <w:tcW w:w="1134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Пиво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644,2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644,2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644,2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644,3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644,3</w:t>
            </w:r>
          </w:p>
        </w:tc>
        <w:tc>
          <w:tcPr>
            <w:tcW w:w="992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644,3</w:t>
            </w:r>
          </w:p>
        </w:tc>
        <w:tc>
          <w:tcPr>
            <w:tcW w:w="1134" w:type="dxa"/>
          </w:tcPr>
          <w:p w:rsidR="00C926D6" w:rsidRPr="00497D9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644,3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объема добычи полезных ископаемых (по видам):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Железные руды черных металлов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добычи руды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102155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бедная руда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48806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богатая руда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Окисленные кварциты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992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1134" w:type="dxa"/>
            <w:vAlign w:val="center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Неметаллическое сырье, используемое в строительной  индустрии: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Окисленные кварциты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Общераспространенные полезные ископаемые: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1091,24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1091,24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1091,24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1091,24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1091,24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1091,24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1091,24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1091,24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1153,16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1153,16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1153,16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1153,16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1153,16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1153,16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1153,16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1153,16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глина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26D6" w:rsidRPr="00410D9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9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</w:t>
            </w:r>
          </w:p>
          <w:p w:rsidR="004C45F9" w:rsidRPr="00FA4E7E" w:rsidRDefault="004C45F9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производства продукции сельского хозяйства в хозяйствах всех категорий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992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992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992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992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992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992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134" w:type="dxa"/>
            <w:vAlign w:val="center"/>
          </w:tcPr>
          <w:p w:rsidR="00C926D6" w:rsidRPr="00823108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08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vAlign w:val="center"/>
          </w:tcPr>
          <w:p w:rsidR="00C926D6" w:rsidRPr="00083E6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6F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реализации сельскохозяйственной продукции собственного производства сельскохозяйственными организациями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992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134" w:type="dxa"/>
            <w:vAlign w:val="center"/>
          </w:tcPr>
          <w:p w:rsidR="00C926D6" w:rsidRPr="009D0D11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1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center"/>
          </w:tcPr>
          <w:p w:rsidR="00C926D6" w:rsidRPr="0006710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2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2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2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center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14B6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BA14B6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3945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3985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3995</w:t>
            </w:r>
          </w:p>
        </w:tc>
        <w:tc>
          <w:tcPr>
            <w:tcW w:w="992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992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4850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992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5656</w:t>
            </w:r>
          </w:p>
        </w:tc>
        <w:tc>
          <w:tcPr>
            <w:tcW w:w="1134" w:type="dxa"/>
            <w:vAlign w:val="center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</w:p>
        </w:tc>
        <w:tc>
          <w:tcPr>
            <w:tcW w:w="1134" w:type="dxa"/>
            <w:vAlign w:val="center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</w:p>
        </w:tc>
        <w:tc>
          <w:tcPr>
            <w:tcW w:w="992" w:type="dxa"/>
            <w:vAlign w:val="center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6008</w:t>
            </w:r>
          </w:p>
        </w:tc>
        <w:tc>
          <w:tcPr>
            <w:tcW w:w="992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6009</w:t>
            </w:r>
          </w:p>
        </w:tc>
        <w:tc>
          <w:tcPr>
            <w:tcW w:w="1134" w:type="dxa"/>
            <w:vAlign w:val="bottom"/>
          </w:tcPr>
          <w:p w:rsidR="00C926D6" w:rsidRPr="0009575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75F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Сахарная свекла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4470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4480</w:t>
            </w:r>
          </w:p>
        </w:tc>
        <w:tc>
          <w:tcPr>
            <w:tcW w:w="992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992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4590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992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</w:p>
        </w:tc>
        <w:tc>
          <w:tcPr>
            <w:tcW w:w="992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4680</w:t>
            </w:r>
          </w:p>
        </w:tc>
        <w:tc>
          <w:tcPr>
            <w:tcW w:w="1134" w:type="dxa"/>
            <w:vAlign w:val="bottom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4980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center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vAlign w:val="bottom"/>
          </w:tcPr>
          <w:p w:rsidR="00C926D6" w:rsidRPr="00AC4D3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Скот и птица (на убой в живом весе)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344,7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344,7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992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vAlign w:val="center"/>
          </w:tcPr>
          <w:p w:rsidR="00C926D6" w:rsidRPr="00B6741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1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Инвестиции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капитал, в ценах соответствующих лет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134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1134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134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213,3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253,4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 к предыдущему году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vAlign w:val="center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C926D6" w:rsidRPr="00FE3320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2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 (за исключением бюджетных средств) к предыдущему году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vAlign w:val="center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vAlign w:val="center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15482F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2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4C4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94,86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109,46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 жилых домов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735,3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899,4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898,4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991,9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6" w:rsidRPr="00A11CA7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7">
              <w:rPr>
                <w:rFonts w:ascii="Times New Roman" w:hAnsi="Times New Roman" w:cs="Times New Roman"/>
                <w:sz w:val="20"/>
                <w:szCs w:val="20"/>
              </w:rPr>
              <w:t>1011,7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Потребительский рынок товаров и услуг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401,3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473,9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285,3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389,7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409,4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312,6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350,5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444,2</w:t>
            </w:r>
          </w:p>
        </w:tc>
      </w:tr>
      <w:tr w:rsidR="00C926D6" w:rsidRPr="00FA4E7E" w:rsidTr="00C926D6">
        <w:trPr>
          <w:trHeight w:val="187"/>
        </w:trPr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vAlign w:val="bottom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C926D6" w:rsidRPr="00B4483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3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4C45F9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 на предприятиях малого и среднего предпринимательства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102,31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102,26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101,47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101,45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101,43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100,69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102,92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102,84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100,69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101,37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100,68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101,34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101,32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101,31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 численности работников на предприятиях малого и среднего предпринимательства в общей численности занятого населения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22,13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22,31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22,39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22,48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22,57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22,65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24,62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24,99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25,88</w:t>
            </w:r>
          </w:p>
        </w:tc>
        <w:tc>
          <w:tcPr>
            <w:tcW w:w="992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26,05</w:t>
            </w:r>
          </w:p>
        </w:tc>
        <w:tc>
          <w:tcPr>
            <w:tcW w:w="1134" w:type="dxa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25,53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26,79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992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27,68</w:t>
            </w:r>
          </w:p>
        </w:tc>
        <w:tc>
          <w:tcPr>
            <w:tcW w:w="1134" w:type="dxa"/>
            <w:vAlign w:val="center"/>
          </w:tcPr>
          <w:p w:rsidR="00C926D6" w:rsidRPr="006405C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28,03</w:t>
            </w:r>
          </w:p>
        </w:tc>
      </w:tr>
      <w:tr w:rsidR="00C926D6" w:rsidRPr="00FA4E7E" w:rsidTr="00C926D6">
        <w:trPr>
          <w:trHeight w:val="599"/>
        </w:trPr>
        <w:tc>
          <w:tcPr>
            <w:tcW w:w="3544" w:type="dxa"/>
            <w:vAlign w:val="center"/>
          </w:tcPr>
          <w:p w:rsidR="004C45F9" w:rsidRDefault="00C926D6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результаты</w:t>
            </w:r>
          </w:p>
          <w:p w:rsidR="004C45F9" w:rsidRDefault="004C45F9" w:rsidP="00BE44B4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5F9" w:rsidRPr="00FA4E7E" w:rsidRDefault="004C45F9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Прибыль прибыльных организаций для целей бухгалтерского учета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79174,5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80522,9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82041,8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83406,7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84922,2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86315,8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87727,7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89159,0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83223,6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84655,8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86496,7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88007,2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90139,9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91694,9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93262,0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94831,5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85125,2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86736,9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89588,1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91324,1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94073,4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95715,0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97368,8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6D6" w:rsidRPr="00557A6D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D">
              <w:rPr>
                <w:rFonts w:ascii="Times New Roman" w:hAnsi="Times New Roman" w:cs="Times New Roman"/>
                <w:sz w:val="20"/>
                <w:szCs w:val="20"/>
              </w:rPr>
              <w:t>99024,9</w:t>
            </w:r>
          </w:p>
        </w:tc>
      </w:tr>
      <w:tr w:rsidR="00C926D6" w:rsidRPr="00FA4E7E" w:rsidTr="00C926D6">
        <w:trPr>
          <w:trHeight w:val="245"/>
        </w:trPr>
        <w:tc>
          <w:tcPr>
            <w:tcW w:w="3544" w:type="dxa"/>
            <w:vAlign w:val="center"/>
          </w:tcPr>
          <w:p w:rsidR="00C926D6" w:rsidRDefault="00C926D6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из нее по разделам:</w:t>
            </w:r>
          </w:p>
          <w:p w:rsidR="004C45F9" w:rsidRPr="00FA4E7E" w:rsidRDefault="004C45F9" w:rsidP="00BE44B4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сельское, лесное хозяйство, охота, рыболовство и рыбоводство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23064,7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23076,2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23087,8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23094,7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23106,2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23109,7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24924,5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24999,3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25024,3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25036,8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25049,3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25061,8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25074,4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25086,9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25650,3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25753,0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25804,5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25856,1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25882,0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Default="00C926D6" w:rsidP="004C45F9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жизни</w:t>
            </w:r>
          </w:p>
          <w:p w:rsidR="004C45F9" w:rsidRDefault="004C45F9" w:rsidP="004C45F9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5F9" w:rsidRPr="00FA4E7E" w:rsidRDefault="004C45F9" w:rsidP="004C45F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работников организаций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157 053,1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166 790,4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176 797,9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187 582,5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199 400,2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211 962,5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225 740,0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240 413,1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161 900,9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172 748,3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183 976,9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196 119,4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209 455,5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223 698,5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239 133,7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255 873,0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164 988,8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176 538,0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188 719,1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201 552,0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215 862,2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231 188,4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248 065,2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266 670,1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(снижения) 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заработная плата работников организаций</w:t>
            </w:r>
          </w:p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39 755,3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42 211,6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44 735,4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47 454,7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50 434,3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53 600,9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57 073,6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60 771,2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40 819,7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43 541,6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46 357,9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49 402,7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52 746,2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56 316,1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60 177,8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64 364,5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41 511,3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44 399,4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47 444,0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50 649,9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54 224,4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58 051,1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62 251,4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66 880,2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C926D6" w:rsidRPr="00FA4E7E" w:rsidTr="00C926D6">
        <w:trPr>
          <w:trHeight w:val="337"/>
        </w:trPr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34 643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36 783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38 982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41 352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43 948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46 708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49 734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52 956</w:t>
            </w:r>
          </w:p>
        </w:tc>
      </w:tr>
      <w:tr w:rsidR="00C926D6" w:rsidRPr="00FA4E7E" w:rsidTr="00C926D6">
        <w:trPr>
          <w:trHeight w:val="271"/>
        </w:trPr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35 570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37 942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40 396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43 049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45 963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49 074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52 439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56 087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36 173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38 689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41 343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44 136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47 251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50 586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54 246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58 279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992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34" w:type="dxa"/>
            <w:vAlign w:val="bottom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C926D6" w:rsidRPr="00FA4E7E" w:rsidTr="00C926D6">
        <w:tc>
          <w:tcPr>
            <w:tcW w:w="3544" w:type="dxa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i/>
                <w:sz w:val="20"/>
                <w:szCs w:val="20"/>
              </w:rPr>
              <w:t>Величина прожиточного минимума:</w:t>
            </w:r>
          </w:p>
        </w:tc>
        <w:tc>
          <w:tcPr>
            <w:tcW w:w="1560" w:type="dxa"/>
            <w:vAlign w:val="center"/>
          </w:tcPr>
          <w:p w:rsidR="00C926D6" w:rsidRPr="00FA4E7E" w:rsidRDefault="00C926D6" w:rsidP="00BE44B4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 - в расчете на душу населения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11 214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11 663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12 130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12 615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13 119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13 644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14 190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14 758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11 181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11 629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12 094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12 578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13 081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13 604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14 148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14 715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11 181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11 629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12 094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12 578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13 081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13 604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14 148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14 715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для трудоспособного населения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12 030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12 511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13 012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13 532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14 074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14 636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15 222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15 831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11 995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12 475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12 974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13 493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14 033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14 594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15 178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15 785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11 995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12 475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12 974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13 493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14 033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14594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15 178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15 785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для пенсионеров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9 317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9 690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10 077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10 480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10 900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11 336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11 789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12 261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9 290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9 662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10 048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10 450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10 868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11 303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11 755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12 225</w:t>
            </w:r>
          </w:p>
        </w:tc>
      </w:tr>
      <w:tr w:rsidR="00C926D6" w:rsidRPr="00FA4E7E" w:rsidTr="00C926D6">
        <w:trPr>
          <w:trHeight w:val="221"/>
        </w:trPr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9 290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9 662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10 048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10 450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10 868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11 303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11 755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12 225</w:t>
            </w:r>
          </w:p>
        </w:tc>
      </w:tr>
      <w:tr w:rsidR="00C926D6" w:rsidRPr="00FA4E7E" w:rsidTr="00C926D6">
        <w:tc>
          <w:tcPr>
            <w:tcW w:w="3544" w:type="dxa"/>
            <w:vMerge w:val="restart"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- для детей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11 271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11 722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12 191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12 679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13 186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13 713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14 262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14 832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11 239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11 688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12 156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12 642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13 148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13 674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14 221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14 790</w:t>
            </w:r>
          </w:p>
        </w:tc>
      </w:tr>
      <w:tr w:rsidR="00C926D6" w:rsidRPr="00FA4E7E" w:rsidTr="00C926D6">
        <w:tc>
          <w:tcPr>
            <w:tcW w:w="3544" w:type="dxa"/>
            <w:vMerge/>
            <w:vAlign w:val="center"/>
          </w:tcPr>
          <w:p w:rsidR="00C926D6" w:rsidRPr="00FA4E7E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FA4E7E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FA4E7E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7E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11 239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11 688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12 156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12 642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13 148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13 674</w:t>
            </w:r>
          </w:p>
        </w:tc>
        <w:tc>
          <w:tcPr>
            <w:tcW w:w="992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14 221</w:t>
            </w:r>
          </w:p>
        </w:tc>
        <w:tc>
          <w:tcPr>
            <w:tcW w:w="1134" w:type="dxa"/>
            <w:vAlign w:val="center"/>
          </w:tcPr>
          <w:p w:rsidR="00C926D6" w:rsidRPr="001D2D2C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2C">
              <w:rPr>
                <w:rFonts w:ascii="Times New Roman" w:hAnsi="Times New Roman" w:cs="Times New Roman"/>
                <w:sz w:val="20"/>
                <w:szCs w:val="20"/>
              </w:rPr>
              <w:t>14 790</w:t>
            </w:r>
          </w:p>
        </w:tc>
      </w:tr>
      <w:tr w:rsidR="00C926D6" w:rsidRPr="000011C3" w:rsidTr="00C926D6">
        <w:tc>
          <w:tcPr>
            <w:tcW w:w="3544" w:type="dxa"/>
            <w:vMerge w:val="restart"/>
            <w:vAlign w:val="center"/>
          </w:tcPr>
          <w:p w:rsidR="00C926D6" w:rsidRPr="000011C3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с денежными доходами ниже прожиточного минимума, </w:t>
            </w:r>
            <w:proofErr w:type="gramStart"/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011C3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011C3">
              <w:rPr>
                <w:rFonts w:ascii="Times New Roman" w:hAnsi="Times New Roman" w:cs="Times New Roman"/>
                <w:sz w:val="20"/>
                <w:szCs w:val="20"/>
              </w:rPr>
              <w:t xml:space="preserve"> общей численности населения</w:t>
            </w:r>
          </w:p>
        </w:tc>
        <w:tc>
          <w:tcPr>
            <w:tcW w:w="1560" w:type="dxa"/>
            <w:vMerge w:val="restart"/>
            <w:vAlign w:val="center"/>
          </w:tcPr>
          <w:p w:rsidR="00C926D6" w:rsidRPr="000011C3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C926D6" w:rsidRPr="000011C3" w:rsidTr="00C926D6">
        <w:tc>
          <w:tcPr>
            <w:tcW w:w="3544" w:type="dxa"/>
            <w:vMerge/>
            <w:vAlign w:val="center"/>
          </w:tcPr>
          <w:p w:rsidR="00C926D6" w:rsidRPr="000011C3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0011C3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926D6" w:rsidRPr="00D657D8" w:rsidTr="00C926D6">
        <w:tc>
          <w:tcPr>
            <w:tcW w:w="3544" w:type="dxa"/>
            <w:vMerge/>
            <w:vAlign w:val="center"/>
          </w:tcPr>
          <w:p w:rsidR="00C926D6" w:rsidRPr="000011C3" w:rsidRDefault="00C926D6" w:rsidP="00BE44B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26D6" w:rsidRPr="000011C3" w:rsidRDefault="00C926D6" w:rsidP="00BE44B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C926D6" w:rsidRPr="000011C3" w:rsidRDefault="00C926D6" w:rsidP="00BE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</w:tbl>
    <w:p w:rsidR="00C926D6" w:rsidRPr="00B429B5" w:rsidRDefault="00C926D6" w:rsidP="00C926D6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26D6" w:rsidRDefault="00C926D6" w:rsidP="00A72220">
      <w:pPr>
        <w:rPr>
          <w:highlight w:val="yellow"/>
          <w:lang w:bidi="ar-SA"/>
        </w:rPr>
      </w:pPr>
    </w:p>
    <w:p w:rsidR="00C926D6" w:rsidRDefault="00C926D6" w:rsidP="00A72220">
      <w:pPr>
        <w:rPr>
          <w:highlight w:val="yellow"/>
          <w:lang w:bidi="ar-SA"/>
        </w:rPr>
      </w:pPr>
    </w:p>
    <w:p w:rsidR="00C926D6" w:rsidRDefault="00C926D6" w:rsidP="00A72220">
      <w:pPr>
        <w:rPr>
          <w:highlight w:val="yellow"/>
          <w:lang w:bidi="ar-SA"/>
        </w:rPr>
      </w:pPr>
    </w:p>
    <w:p w:rsidR="009F1295" w:rsidRDefault="009F1295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2B0" w:rsidRDefault="003502B0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2B0" w:rsidRDefault="003502B0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45F9" w:rsidRDefault="004C45F9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4C45F9" w:rsidSect="00116BB6">
          <w:pgSz w:w="16840" w:h="11900" w:orient="landscape"/>
          <w:pgMar w:top="1134" w:right="1134" w:bottom="1134" w:left="1701" w:header="709" w:footer="709" w:gutter="0"/>
          <w:cols w:space="720"/>
          <w:noEndnote/>
          <w:docGrid w:linePitch="360"/>
        </w:sectPr>
      </w:pPr>
    </w:p>
    <w:p w:rsidR="00530B10" w:rsidRPr="003502B0" w:rsidRDefault="00530B10" w:rsidP="003502B0">
      <w:pPr>
        <w:pStyle w:val="2"/>
        <w:keepNext w:val="0"/>
        <w:widowControl w:val="0"/>
        <w:ind w:left="5954"/>
        <w:jc w:val="left"/>
        <w:rPr>
          <w:rFonts w:ascii="Times New Roman" w:hAnsi="Times New Roman"/>
          <w:b w:val="0"/>
        </w:rPr>
      </w:pPr>
      <w:r w:rsidRPr="003502B0">
        <w:rPr>
          <w:rFonts w:ascii="Times New Roman" w:hAnsi="Times New Roman"/>
          <w:b w:val="0"/>
        </w:rPr>
        <w:t xml:space="preserve">Приложение № 2 </w:t>
      </w:r>
    </w:p>
    <w:p w:rsidR="00530B10" w:rsidRPr="003502B0" w:rsidRDefault="00530B10" w:rsidP="003502B0">
      <w:pPr>
        <w:ind w:left="5954"/>
        <w:rPr>
          <w:rFonts w:ascii="Times New Roman" w:hAnsi="Times New Roman" w:cs="Times New Roman"/>
          <w:lang w:bidi="ar-SA"/>
        </w:rPr>
      </w:pPr>
      <w:r w:rsidRPr="003502B0">
        <w:rPr>
          <w:rFonts w:ascii="Times New Roman" w:hAnsi="Times New Roman" w:cs="Times New Roman"/>
          <w:lang w:bidi="ar-SA"/>
        </w:rPr>
        <w:t xml:space="preserve">к долгосрочному прогнозу </w:t>
      </w:r>
      <w:proofErr w:type="gramStart"/>
      <w:r w:rsidRPr="003502B0">
        <w:rPr>
          <w:rFonts w:ascii="Times New Roman" w:hAnsi="Times New Roman" w:cs="Times New Roman"/>
          <w:lang w:bidi="ar-SA"/>
        </w:rPr>
        <w:t>социально-экономического</w:t>
      </w:r>
      <w:proofErr w:type="gramEnd"/>
      <w:r w:rsidRPr="003502B0">
        <w:rPr>
          <w:rFonts w:ascii="Times New Roman" w:hAnsi="Times New Roman" w:cs="Times New Roman"/>
          <w:lang w:bidi="ar-SA"/>
        </w:rPr>
        <w:t xml:space="preserve"> </w:t>
      </w:r>
    </w:p>
    <w:p w:rsidR="00530B10" w:rsidRPr="003502B0" w:rsidRDefault="00530B10" w:rsidP="003502B0">
      <w:pPr>
        <w:ind w:left="5954"/>
        <w:rPr>
          <w:rFonts w:ascii="Times New Roman" w:hAnsi="Times New Roman" w:cs="Times New Roman"/>
          <w:lang w:bidi="ar-SA"/>
        </w:rPr>
      </w:pPr>
      <w:r w:rsidRPr="003502B0">
        <w:rPr>
          <w:rFonts w:ascii="Times New Roman" w:hAnsi="Times New Roman" w:cs="Times New Roman"/>
          <w:lang w:bidi="ar-SA"/>
        </w:rPr>
        <w:t xml:space="preserve">развития Курской области до 2030 года </w:t>
      </w:r>
    </w:p>
    <w:p w:rsidR="005D0898" w:rsidRPr="00807E13" w:rsidRDefault="005D0898" w:rsidP="003502B0">
      <w:pPr>
        <w:ind w:left="567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3502B0" w:rsidRPr="00861240" w:rsidRDefault="003502B0" w:rsidP="00350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40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программ Курской области </w:t>
      </w:r>
    </w:p>
    <w:p w:rsidR="003502B0" w:rsidRDefault="003502B0" w:rsidP="003502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709"/>
        <w:gridCol w:w="8647"/>
      </w:tblGrid>
      <w:tr w:rsidR="003502B0" w:rsidRPr="006C2F11" w:rsidTr="003502B0">
        <w:tc>
          <w:tcPr>
            <w:tcW w:w="9356" w:type="dxa"/>
            <w:gridSpan w:val="2"/>
          </w:tcPr>
          <w:p w:rsidR="003502B0" w:rsidRDefault="003502B0" w:rsidP="00BE4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07D0">
              <w:rPr>
                <w:rFonts w:ascii="Times New Roman" w:hAnsi="Times New Roman" w:cs="Times New Roman"/>
                <w:b/>
                <w:sz w:val="28"/>
                <w:szCs w:val="28"/>
              </w:rPr>
              <w:t>. Новое качество жизни</w:t>
            </w:r>
          </w:p>
          <w:p w:rsidR="003502B0" w:rsidRDefault="003502B0" w:rsidP="00BE44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02B0" w:rsidRPr="006C2F11" w:rsidTr="003502B0">
        <w:tc>
          <w:tcPr>
            <w:tcW w:w="709" w:type="dxa"/>
          </w:tcPr>
          <w:p w:rsidR="003502B0" w:rsidRPr="006C2F11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3502B0" w:rsidRDefault="003502B0" w:rsidP="00BE44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F11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 в Курской области</w:t>
            </w:r>
          </w:p>
        </w:tc>
      </w:tr>
      <w:tr w:rsidR="003502B0" w:rsidRPr="006C2F11" w:rsidTr="003502B0">
        <w:tc>
          <w:tcPr>
            <w:tcW w:w="709" w:type="dxa"/>
          </w:tcPr>
          <w:p w:rsidR="003502B0" w:rsidRPr="006C2F11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3502B0" w:rsidRPr="006C2F11" w:rsidRDefault="003502B0" w:rsidP="00BE4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1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Курской области</w:t>
            </w:r>
          </w:p>
        </w:tc>
      </w:tr>
      <w:tr w:rsidR="003502B0" w:rsidRPr="006C2F11" w:rsidTr="003502B0">
        <w:tc>
          <w:tcPr>
            <w:tcW w:w="709" w:type="dxa"/>
          </w:tcPr>
          <w:p w:rsidR="003502B0" w:rsidRPr="006C2F11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502B0" w:rsidRPr="006C2F11" w:rsidRDefault="003502B0" w:rsidP="00BE4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1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в Курской области 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Курской области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доступным и комфортным жильем и коммунальными услугами граждан в Курской области 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в Курской области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занятости населения в Курской области 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Курской области 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Курской области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 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 в Курской области</w:t>
            </w:r>
          </w:p>
        </w:tc>
      </w:tr>
      <w:tr w:rsidR="003502B0" w:rsidRPr="00E97122" w:rsidTr="003502B0">
        <w:tc>
          <w:tcPr>
            <w:tcW w:w="9356" w:type="dxa"/>
            <w:gridSpan w:val="2"/>
          </w:tcPr>
          <w:p w:rsidR="003502B0" w:rsidRPr="00BB07D0" w:rsidRDefault="003502B0" w:rsidP="00BE44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D0">
              <w:rPr>
                <w:rFonts w:ascii="Times New Roman" w:hAnsi="Times New Roman" w:cs="Times New Roman"/>
                <w:b/>
                <w:sz w:val="28"/>
                <w:szCs w:val="28"/>
              </w:rPr>
              <w:t>II. Инновационное развитие и модернизация экономики</w:t>
            </w:r>
          </w:p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экономики и внешних связей Курской области 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промышленности в Курской области и повышение ее конкурентоспособности 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общества в Курской области </w:t>
            </w:r>
          </w:p>
        </w:tc>
      </w:tr>
      <w:tr w:rsidR="003502B0" w:rsidRPr="00E97122" w:rsidTr="003502B0">
        <w:trPr>
          <w:trHeight w:val="645"/>
        </w:trPr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системы, обеспечение перевозки пассажиров в Курской области и безопасности дорожного движения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Курской области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</w:t>
            </w:r>
            <w:r w:rsidR="008B4942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и использование природных ресурсов, охрана окружающей среды в Курской области 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лесного хозяйства в Курской области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 в Курской области </w:t>
            </w:r>
          </w:p>
        </w:tc>
      </w:tr>
      <w:tr w:rsidR="003502B0" w:rsidRPr="00E97122" w:rsidTr="003502B0">
        <w:tc>
          <w:tcPr>
            <w:tcW w:w="9356" w:type="dxa"/>
            <w:gridSpan w:val="2"/>
          </w:tcPr>
          <w:p w:rsidR="003502B0" w:rsidRPr="00BB07D0" w:rsidRDefault="003502B0" w:rsidP="00BE44B4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07D0">
              <w:rPr>
                <w:rFonts w:ascii="Times New Roman" w:hAnsi="Times New Roman" w:cs="Times New Roman"/>
                <w:b/>
                <w:sz w:val="28"/>
                <w:szCs w:val="28"/>
              </w:rPr>
              <w:t>. Эффективное государство</w:t>
            </w:r>
          </w:p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0" w:rsidRPr="00E97122" w:rsidTr="003502B0">
        <w:tc>
          <w:tcPr>
            <w:tcW w:w="709" w:type="dxa"/>
          </w:tcPr>
          <w:p w:rsidR="003502B0" w:rsidRDefault="003502B0" w:rsidP="00BE44B4">
            <w:pPr>
              <w:autoSpaceDE w:val="0"/>
              <w:autoSpaceDN w:val="0"/>
              <w:adjustRightInd w:val="0"/>
              <w:ind w:left="304" w:hanging="3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:rsidR="003502B0" w:rsidRPr="00861240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имуществом Курской области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печати и массовой информации в Курской области</w:t>
            </w:r>
            <w:proofErr w:type="gramEnd"/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Программа Курской области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исполнения полномочий в сфере юстиции</w:t>
            </w:r>
          </w:p>
        </w:tc>
      </w:tr>
      <w:tr w:rsidR="003502B0" w:rsidRPr="00E97122" w:rsidTr="003502B0">
        <w:tc>
          <w:tcPr>
            <w:tcW w:w="709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:rsidR="003502B0" w:rsidRPr="00E97122" w:rsidRDefault="003502B0" w:rsidP="00BE44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Курской области</w:t>
            </w:r>
          </w:p>
        </w:tc>
      </w:tr>
    </w:tbl>
    <w:p w:rsidR="003502B0" w:rsidRDefault="003502B0" w:rsidP="003502B0"/>
    <w:p w:rsidR="003502B0" w:rsidRDefault="003502B0" w:rsidP="005D0898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2B0" w:rsidRDefault="003502B0" w:rsidP="005D0898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2B0" w:rsidRPr="00807E13" w:rsidRDefault="003502B0" w:rsidP="005D0898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0CD8" w:rsidRPr="007235AD" w:rsidRDefault="00EC0CD8" w:rsidP="00EC0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0CD8" w:rsidRPr="007235AD" w:rsidSect="00910C24">
      <w:pgSz w:w="11900" w:h="16840"/>
      <w:pgMar w:top="1134" w:right="1134" w:bottom="1134" w:left="1701" w:header="170" w:footer="11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42" w:rsidRDefault="008B4942" w:rsidP="00A652B8">
      <w:r>
        <w:separator/>
      </w:r>
    </w:p>
  </w:endnote>
  <w:endnote w:type="continuationSeparator" w:id="0">
    <w:p w:rsidR="008B4942" w:rsidRDefault="008B4942" w:rsidP="00A6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42" w:rsidRDefault="008B4942"/>
  </w:footnote>
  <w:footnote w:type="continuationSeparator" w:id="0">
    <w:p w:rsidR="008B4942" w:rsidRDefault="008B49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836591"/>
      <w:docPartObj>
        <w:docPartGallery w:val="Page Numbers (Top of Page)"/>
        <w:docPartUnique/>
      </w:docPartObj>
    </w:sdtPr>
    <w:sdtContent>
      <w:p w:rsidR="008B4942" w:rsidRDefault="008B4942">
        <w:pPr>
          <w:pStyle w:val="a6"/>
          <w:jc w:val="center"/>
        </w:pPr>
      </w:p>
      <w:p w:rsidR="008B4942" w:rsidRDefault="008B4942">
        <w:pPr>
          <w:pStyle w:val="a6"/>
          <w:jc w:val="center"/>
        </w:pPr>
      </w:p>
    </w:sdtContent>
  </w:sdt>
  <w:p w:rsidR="008B4942" w:rsidRDefault="008B49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701963"/>
      <w:docPartObj>
        <w:docPartGallery w:val="Page Numbers (Top of Page)"/>
        <w:docPartUnique/>
      </w:docPartObj>
    </w:sdtPr>
    <w:sdtContent>
      <w:p w:rsidR="008B4942" w:rsidRDefault="008B4942">
        <w:pPr>
          <w:pStyle w:val="a6"/>
          <w:jc w:val="center"/>
        </w:pPr>
        <w:fldSimple w:instr="PAGE   \* MERGEFORMAT">
          <w:r>
            <w:rPr>
              <w:noProof/>
            </w:rPr>
            <w:t>39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E04"/>
    <w:multiLevelType w:val="hybridMultilevel"/>
    <w:tmpl w:val="8D044BA0"/>
    <w:lvl w:ilvl="0" w:tplc="1292CA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051D9"/>
    <w:multiLevelType w:val="hybridMultilevel"/>
    <w:tmpl w:val="AD1477B6"/>
    <w:lvl w:ilvl="0" w:tplc="62164DE4">
      <w:start w:val="201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5E40813"/>
    <w:multiLevelType w:val="hybridMultilevel"/>
    <w:tmpl w:val="AC0279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3919"/>
    <w:multiLevelType w:val="multilevel"/>
    <w:tmpl w:val="6BDA110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77351"/>
    <w:multiLevelType w:val="hybridMultilevel"/>
    <w:tmpl w:val="D2BAC34A"/>
    <w:lvl w:ilvl="0" w:tplc="B91046CE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F31F7F"/>
    <w:multiLevelType w:val="multilevel"/>
    <w:tmpl w:val="5F18B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57E13"/>
    <w:multiLevelType w:val="hybridMultilevel"/>
    <w:tmpl w:val="05D2C16A"/>
    <w:lvl w:ilvl="0" w:tplc="A91E96DC">
      <w:numFmt w:val="bullet"/>
      <w:lvlText w:val=""/>
      <w:lvlJc w:val="left"/>
      <w:pPr>
        <w:tabs>
          <w:tab w:val="num" w:pos="1667"/>
        </w:tabs>
        <w:ind w:left="1667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7">
    <w:nsid w:val="5795429A"/>
    <w:multiLevelType w:val="hybridMultilevel"/>
    <w:tmpl w:val="783400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D498F"/>
    <w:multiLevelType w:val="hybridMultilevel"/>
    <w:tmpl w:val="07FCA61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C167E"/>
    <w:multiLevelType w:val="hybridMultilevel"/>
    <w:tmpl w:val="EAB4AC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37A5D"/>
    <w:multiLevelType w:val="hybridMultilevel"/>
    <w:tmpl w:val="B94AC3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914EF"/>
    <w:multiLevelType w:val="hybridMultilevel"/>
    <w:tmpl w:val="560C889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52B8"/>
    <w:rsid w:val="00001986"/>
    <w:rsid w:val="00003B2B"/>
    <w:rsid w:val="000227B7"/>
    <w:rsid w:val="0002757B"/>
    <w:rsid w:val="00036CC1"/>
    <w:rsid w:val="00041533"/>
    <w:rsid w:val="00051FA6"/>
    <w:rsid w:val="000666F3"/>
    <w:rsid w:val="00072D04"/>
    <w:rsid w:val="0007497B"/>
    <w:rsid w:val="00074A85"/>
    <w:rsid w:val="00075376"/>
    <w:rsid w:val="000873D8"/>
    <w:rsid w:val="000A2274"/>
    <w:rsid w:val="000A3C36"/>
    <w:rsid w:val="000B1C37"/>
    <w:rsid w:val="000C71D5"/>
    <w:rsid w:val="000D17CF"/>
    <w:rsid w:val="000D611C"/>
    <w:rsid w:val="000E7B3F"/>
    <w:rsid w:val="00100694"/>
    <w:rsid w:val="00102B87"/>
    <w:rsid w:val="00115AED"/>
    <w:rsid w:val="00116BB6"/>
    <w:rsid w:val="00117DFC"/>
    <w:rsid w:val="0012065A"/>
    <w:rsid w:val="001237FC"/>
    <w:rsid w:val="00124555"/>
    <w:rsid w:val="00127DE8"/>
    <w:rsid w:val="00130E9A"/>
    <w:rsid w:val="0013477D"/>
    <w:rsid w:val="00137A84"/>
    <w:rsid w:val="00150935"/>
    <w:rsid w:val="00150ECF"/>
    <w:rsid w:val="00176177"/>
    <w:rsid w:val="0017745C"/>
    <w:rsid w:val="00180D60"/>
    <w:rsid w:val="001A30E5"/>
    <w:rsid w:val="001A6D0C"/>
    <w:rsid w:val="001C123D"/>
    <w:rsid w:val="001D73FD"/>
    <w:rsid w:val="001E03C1"/>
    <w:rsid w:val="001E2E63"/>
    <w:rsid w:val="001F0987"/>
    <w:rsid w:val="001F5CD9"/>
    <w:rsid w:val="002077B4"/>
    <w:rsid w:val="00221A0E"/>
    <w:rsid w:val="00224D4A"/>
    <w:rsid w:val="002251A7"/>
    <w:rsid w:val="00227ED5"/>
    <w:rsid w:val="00230D16"/>
    <w:rsid w:val="0023351A"/>
    <w:rsid w:val="00233933"/>
    <w:rsid w:val="00243472"/>
    <w:rsid w:val="002530AB"/>
    <w:rsid w:val="00260F9C"/>
    <w:rsid w:val="00270873"/>
    <w:rsid w:val="00272D3C"/>
    <w:rsid w:val="002748B7"/>
    <w:rsid w:val="00275228"/>
    <w:rsid w:val="002760ED"/>
    <w:rsid w:val="00277C9F"/>
    <w:rsid w:val="00281C59"/>
    <w:rsid w:val="002871F5"/>
    <w:rsid w:val="002A3FBC"/>
    <w:rsid w:val="002A63DC"/>
    <w:rsid w:val="002B4706"/>
    <w:rsid w:val="002D006E"/>
    <w:rsid w:val="002D20BE"/>
    <w:rsid w:val="002D5645"/>
    <w:rsid w:val="002E78E5"/>
    <w:rsid w:val="00304632"/>
    <w:rsid w:val="00305E60"/>
    <w:rsid w:val="003114AB"/>
    <w:rsid w:val="00312AAC"/>
    <w:rsid w:val="00325F7B"/>
    <w:rsid w:val="003313CA"/>
    <w:rsid w:val="003327D0"/>
    <w:rsid w:val="00340C7A"/>
    <w:rsid w:val="00343E30"/>
    <w:rsid w:val="003453F0"/>
    <w:rsid w:val="0034721D"/>
    <w:rsid w:val="003502B0"/>
    <w:rsid w:val="003549A1"/>
    <w:rsid w:val="00360994"/>
    <w:rsid w:val="0036685A"/>
    <w:rsid w:val="00371B30"/>
    <w:rsid w:val="0038113A"/>
    <w:rsid w:val="00382486"/>
    <w:rsid w:val="00396EE5"/>
    <w:rsid w:val="003A14A8"/>
    <w:rsid w:val="003B14B1"/>
    <w:rsid w:val="003D2940"/>
    <w:rsid w:val="003D71A2"/>
    <w:rsid w:val="003F332D"/>
    <w:rsid w:val="003F34C3"/>
    <w:rsid w:val="00401D09"/>
    <w:rsid w:val="0040510C"/>
    <w:rsid w:val="00405278"/>
    <w:rsid w:val="00410580"/>
    <w:rsid w:val="00410FEC"/>
    <w:rsid w:val="00413CEB"/>
    <w:rsid w:val="004243A8"/>
    <w:rsid w:val="0042451B"/>
    <w:rsid w:val="00430A48"/>
    <w:rsid w:val="00434805"/>
    <w:rsid w:val="00440792"/>
    <w:rsid w:val="00442ADB"/>
    <w:rsid w:val="00453F76"/>
    <w:rsid w:val="00456F3F"/>
    <w:rsid w:val="00457840"/>
    <w:rsid w:val="0047570B"/>
    <w:rsid w:val="00476085"/>
    <w:rsid w:val="00476F11"/>
    <w:rsid w:val="0048350E"/>
    <w:rsid w:val="00486B02"/>
    <w:rsid w:val="00490E91"/>
    <w:rsid w:val="00492CEA"/>
    <w:rsid w:val="004970F6"/>
    <w:rsid w:val="0049744D"/>
    <w:rsid w:val="004C389F"/>
    <w:rsid w:val="004C45F9"/>
    <w:rsid w:val="004D273C"/>
    <w:rsid w:val="004D3576"/>
    <w:rsid w:val="004E1DA3"/>
    <w:rsid w:val="004E7363"/>
    <w:rsid w:val="004F01AE"/>
    <w:rsid w:val="004F0908"/>
    <w:rsid w:val="004F2793"/>
    <w:rsid w:val="004F4405"/>
    <w:rsid w:val="0050184B"/>
    <w:rsid w:val="00502583"/>
    <w:rsid w:val="00505813"/>
    <w:rsid w:val="00521103"/>
    <w:rsid w:val="00530B10"/>
    <w:rsid w:val="00532E97"/>
    <w:rsid w:val="005353A9"/>
    <w:rsid w:val="00543265"/>
    <w:rsid w:val="00545F15"/>
    <w:rsid w:val="0055006D"/>
    <w:rsid w:val="00550EEE"/>
    <w:rsid w:val="00562646"/>
    <w:rsid w:val="00585884"/>
    <w:rsid w:val="005925F3"/>
    <w:rsid w:val="005974D0"/>
    <w:rsid w:val="005979F5"/>
    <w:rsid w:val="005A3923"/>
    <w:rsid w:val="005A6136"/>
    <w:rsid w:val="005B1522"/>
    <w:rsid w:val="005C52B0"/>
    <w:rsid w:val="005D0898"/>
    <w:rsid w:val="005D63D8"/>
    <w:rsid w:val="005D7A59"/>
    <w:rsid w:val="005F4BE6"/>
    <w:rsid w:val="005F50AA"/>
    <w:rsid w:val="005F56C7"/>
    <w:rsid w:val="00615642"/>
    <w:rsid w:val="00617BAE"/>
    <w:rsid w:val="00617D83"/>
    <w:rsid w:val="00623E7A"/>
    <w:rsid w:val="00624377"/>
    <w:rsid w:val="00636199"/>
    <w:rsid w:val="006363C7"/>
    <w:rsid w:val="00636FC3"/>
    <w:rsid w:val="006462D8"/>
    <w:rsid w:val="006611BA"/>
    <w:rsid w:val="00677628"/>
    <w:rsid w:val="006B11C7"/>
    <w:rsid w:val="006B3308"/>
    <w:rsid w:val="006B6D73"/>
    <w:rsid w:val="006C122A"/>
    <w:rsid w:val="006C6247"/>
    <w:rsid w:val="006D08A7"/>
    <w:rsid w:val="006D53B0"/>
    <w:rsid w:val="006E28EE"/>
    <w:rsid w:val="006E70C1"/>
    <w:rsid w:val="006F62D5"/>
    <w:rsid w:val="006F7A47"/>
    <w:rsid w:val="00703980"/>
    <w:rsid w:val="00707AD4"/>
    <w:rsid w:val="007234C8"/>
    <w:rsid w:val="007235AD"/>
    <w:rsid w:val="007266CE"/>
    <w:rsid w:val="00734AE1"/>
    <w:rsid w:val="007460C2"/>
    <w:rsid w:val="0075174A"/>
    <w:rsid w:val="00752022"/>
    <w:rsid w:val="00752CA4"/>
    <w:rsid w:val="00755908"/>
    <w:rsid w:val="0076190E"/>
    <w:rsid w:val="007644F2"/>
    <w:rsid w:val="007656E4"/>
    <w:rsid w:val="00773484"/>
    <w:rsid w:val="00775FFE"/>
    <w:rsid w:val="007773C3"/>
    <w:rsid w:val="007773EF"/>
    <w:rsid w:val="00777634"/>
    <w:rsid w:val="00793B2A"/>
    <w:rsid w:val="007A2145"/>
    <w:rsid w:val="007A410E"/>
    <w:rsid w:val="007B1F48"/>
    <w:rsid w:val="007B5774"/>
    <w:rsid w:val="007C59A4"/>
    <w:rsid w:val="007E36C4"/>
    <w:rsid w:val="007E4D9C"/>
    <w:rsid w:val="007F3A65"/>
    <w:rsid w:val="007F4858"/>
    <w:rsid w:val="00807E13"/>
    <w:rsid w:val="008202D3"/>
    <w:rsid w:val="00831011"/>
    <w:rsid w:val="0084234E"/>
    <w:rsid w:val="008464A3"/>
    <w:rsid w:val="0085356A"/>
    <w:rsid w:val="00854B25"/>
    <w:rsid w:val="0086312F"/>
    <w:rsid w:val="00870919"/>
    <w:rsid w:val="00871CBE"/>
    <w:rsid w:val="0087270B"/>
    <w:rsid w:val="008779BD"/>
    <w:rsid w:val="008861C1"/>
    <w:rsid w:val="00896E3D"/>
    <w:rsid w:val="008A42F0"/>
    <w:rsid w:val="008A74BD"/>
    <w:rsid w:val="008B17F1"/>
    <w:rsid w:val="008B4942"/>
    <w:rsid w:val="008C0323"/>
    <w:rsid w:val="008C44C3"/>
    <w:rsid w:val="008C5F4D"/>
    <w:rsid w:val="008D0253"/>
    <w:rsid w:val="008D0D23"/>
    <w:rsid w:val="008D0EAF"/>
    <w:rsid w:val="008E362F"/>
    <w:rsid w:val="008E7FE7"/>
    <w:rsid w:val="008F405E"/>
    <w:rsid w:val="00910C24"/>
    <w:rsid w:val="00931AA6"/>
    <w:rsid w:val="00934221"/>
    <w:rsid w:val="00942B08"/>
    <w:rsid w:val="00945D45"/>
    <w:rsid w:val="009477BB"/>
    <w:rsid w:val="00961F5C"/>
    <w:rsid w:val="00965CF7"/>
    <w:rsid w:val="009666C7"/>
    <w:rsid w:val="0097384A"/>
    <w:rsid w:val="00980CCB"/>
    <w:rsid w:val="00981C14"/>
    <w:rsid w:val="00990C28"/>
    <w:rsid w:val="00991719"/>
    <w:rsid w:val="00995F70"/>
    <w:rsid w:val="009B4A6C"/>
    <w:rsid w:val="009B7949"/>
    <w:rsid w:val="009C21A3"/>
    <w:rsid w:val="009F1295"/>
    <w:rsid w:val="00A054A5"/>
    <w:rsid w:val="00A1124F"/>
    <w:rsid w:val="00A15A54"/>
    <w:rsid w:val="00A2378E"/>
    <w:rsid w:val="00A25CEA"/>
    <w:rsid w:val="00A27F7E"/>
    <w:rsid w:val="00A57D7B"/>
    <w:rsid w:val="00A652B8"/>
    <w:rsid w:val="00A72220"/>
    <w:rsid w:val="00A72F29"/>
    <w:rsid w:val="00A82467"/>
    <w:rsid w:val="00AA5DC6"/>
    <w:rsid w:val="00AB22E1"/>
    <w:rsid w:val="00AB2F42"/>
    <w:rsid w:val="00AB6A9B"/>
    <w:rsid w:val="00AC0E0A"/>
    <w:rsid w:val="00AC6B1B"/>
    <w:rsid w:val="00AD4115"/>
    <w:rsid w:val="00AE1217"/>
    <w:rsid w:val="00AE7DF0"/>
    <w:rsid w:val="00AF03D3"/>
    <w:rsid w:val="00AF6C1A"/>
    <w:rsid w:val="00B00015"/>
    <w:rsid w:val="00B01B09"/>
    <w:rsid w:val="00B06204"/>
    <w:rsid w:val="00B12017"/>
    <w:rsid w:val="00B13C77"/>
    <w:rsid w:val="00B14B29"/>
    <w:rsid w:val="00B20FE8"/>
    <w:rsid w:val="00B221B4"/>
    <w:rsid w:val="00B27F85"/>
    <w:rsid w:val="00B33B80"/>
    <w:rsid w:val="00B3511E"/>
    <w:rsid w:val="00B4530B"/>
    <w:rsid w:val="00B4735A"/>
    <w:rsid w:val="00B51E5D"/>
    <w:rsid w:val="00B63D84"/>
    <w:rsid w:val="00B65922"/>
    <w:rsid w:val="00B65B49"/>
    <w:rsid w:val="00B75EFA"/>
    <w:rsid w:val="00B77BFA"/>
    <w:rsid w:val="00B84CCE"/>
    <w:rsid w:val="00B906BE"/>
    <w:rsid w:val="00B9764D"/>
    <w:rsid w:val="00BA039B"/>
    <w:rsid w:val="00BA087F"/>
    <w:rsid w:val="00BA5389"/>
    <w:rsid w:val="00BA5EF7"/>
    <w:rsid w:val="00BC1528"/>
    <w:rsid w:val="00BD2DFA"/>
    <w:rsid w:val="00BE1A4B"/>
    <w:rsid w:val="00BE1CCC"/>
    <w:rsid w:val="00BE44B4"/>
    <w:rsid w:val="00BF04C3"/>
    <w:rsid w:val="00C03D7E"/>
    <w:rsid w:val="00C10254"/>
    <w:rsid w:val="00C13461"/>
    <w:rsid w:val="00C3655E"/>
    <w:rsid w:val="00C457D0"/>
    <w:rsid w:val="00C47EEC"/>
    <w:rsid w:val="00C63193"/>
    <w:rsid w:val="00C65946"/>
    <w:rsid w:val="00C6746C"/>
    <w:rsid w:val="00C74C2D"/>
    <w:rsid w:val="00C926D6"/>
    <w:rsid w:val="00C97A1E"/>
    <w:rsid w:val="00CA0763"/>
    <w:rsid w:val="00CA24A0"/>
    <w:rsid w:val="00CA4CF5"/>
    <w:rsid w:val="00CA5A72"/>
    <w:rsid w:val="00CB154A"/>
    <w:rsid w:val="00CB27EB"/>
    <w:rsid w:val="00CB5648"/>
    <w:rsid w:val="00CB59EC"/>
    <w:rsid w:val="00CC2E8A"/>
    <w:rsid w:val="00CC5033"/>
    <w:rsid w:val="00CC68D6"/>
    <w:rsid w:val="00CD2E2C"/>
    <w:rsid w:val="00CD430C"/>
    <w:rsid w:val="00CD6661"/>
    <w:rsid w:val="00CE13FD"/>
    <w:rsid w:val="00D0013A"/>
    <w:rsid w:val="00D04B8C"/>
    <w:rsid w:val="00D0552A"/>
    <w:rsid w:val="00D140FD"/>
    <w:rsid w:val="00D302AB"/>
    <w:rsid w:val="00D42C9E"/>
    <w:rsid w:val="00D5637A"/>
    <w:rsid w:val="00D6536E"/>
    <w:rsid w:val="00D6656F"/>
    <w:rsid w:val="00D704F0"/>
    <w:rsid w:val="00D721F6"/>
    <w:rsid w:val="00D72527"/>
    <w:rsid w:val="00D80D41"/>
    <w:rsid w:val="00D9030B"/>
    <w:rsid w:val="00D906FA"/>
    <w:rsid w:val="00D93F08"/>
    <w:rsid w:val="00D959AE"/>
    <w:rsid w:val="00D97021"/>
    <w:rsid w:val="00DA5973"/>
    <w:rsid w:val="00DC73D6"/>
    <w:rsid w:val="00DD1A3E"/>
    <w:rsid w:val="00DD43FD"/>
    <w:rsid w:val="00DE48AA"/>
    <w:rsid w:val="00DF7F19"/>
    <w:rsid w:val="00E050A1"/>
    <w:rsid w:val="00E1109F"/>
    <w:rsid w:val="00E1113F"/>
    <w:rsid w:val="00E144A0"/>
    <w:rsid w:val="00E20F1D"/>
    <w:rsid w:val="00E22F4C"/>
    <w:rsid w:val="00E23428"/>
    <w:rsid w:val="00E24832"/>
    <w:rsid w:val="00E265EB"/>
    <w:rsid w:val="00E31B8E"/>
    <w:rsid w:val="00E373BC"/>
    <w:rsid w:val="00E41CCA"/>
    <w:rsid w:val="00E466BB"/>
    <w:rsid w:val="00E56B22"/>
    <w:rsid w:val="00E56EC6"/>
    <w:rsid w:val="00E57A18"/>
    <w:rsid w:val="00E70ABF"/>
    <w:rsid w:val="00E72972"/>
    <w:rsid w:val="00E746B2"/>
    <w:rsid w:val="00E75451"/>
    <w:rsid w:val="00E764CE"/>
    <w:rsid w:val="00E772D6"/>
    <w:rsid w:val="00E901E2"/>
    <w:rsid w:val="00E90A17"/>
    <w:rsid w:val="00E90D55"/>
    <w:rsid w:val="00E93D41"/>
    <w:rsid w:val="00E96C86"/>
    <w:rsid w:val="00EA141E"/>
    <w:rsid w:val="00EB60AA"/>
    <w:rsid w:val="00EC0CD8"/>
    <w:rsid w:val="00ED0724"/>
    <w:rsid w:val="00ED32C0"/>
    <w:rsid w:val="00EE1525"/>
    <w:rsid w:val="00F0066B"/>
    <w:rsid w:val="00F02510"/>
    <w:rsid w:val="00F06C89"/>
    <w:rsid w:val="00F14FCB"/>
    <w:rsid w:val="00F16CD0"/>
    <w:rsid w:val="00F173BF"/>
    <w:rsid w:val="00F23F7C"/>
    <w:rsid w:val="00F25E46"/>
    <w:rsid w:val="00F31F48"/>
    <w:rsid w:val="00F32226"/>
    <w:rsid w:val="00F50289"/>
    <w:rsid w:val="00F51789"/>
    <w:rsid w:val="00F53A3C"/>
    <w:rsid w:val="00F5645D"/>
    <w:rsid w:val="00F64406"/>
    <w:rsid w:val="00F644CE"/>
    <w:rsid w:val="00F72277"/>
    <w:rsid w:val="00F72747"/>
    <w:rsid w:val="00F8038E"/>
    <w:rsid w:val="00F8549E"/>
    <w:rsid w:val="00F91608"/>
    <w:rsid w:val="00F936E2"/>
    <w:rsid w:val="00F93A86"/>
    <w:rsid w:val="00F94A9D"/>
    <w:rsid w:val="00FA5DA0"/>
    <w:rsid w:val="00FB130B"/>
    <w:rsid w:val="00FB6322"/>
    <w:rsid w:val="00FC1871"/>
    <w:rsid w:val="00FC5891"/>
    <w:rsid w:val="00FC5AAB"/>
    <w:rsid w:val="00FC678F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2B8"/>
    <w:rPr>
      <w:color w:val="000000"/>
    </w:rPr>
  </w:style>
  <w:style w:type="paragraph" w:styleId="1">
    <w:name w:val="heading 1"/>
    <w:basedOn w:val="a"/>
    <w:next w:val="a"/>
    <w:link w:val="10"/>
    <w:qFormat/>
    <w:rsid w:val="00F93A86"/>
    <w:pPr>
      <w:keepNext/>
      <w:widowControl/>
      <w:ind w:left="6300"/>
      <w:outlineLvl w:val="0"/>
    </w:pPr>
    <w:rPr>
      <w:rFonts w:ascii="Arial CYR" w:eastAsia="Times New Roman" w:hAnsi="Arial CYR" w:cs="Times New Roman"/>
      <w:b/>
      <w:bCs/>
      <w:color w:val="auto"/>
      <w:kern w:val="2"/>
      <w:lang w:bidi="ar-SA"/>
    </w:rPr>
  </w:style>
  <w:style w:type="paragraph" w:styleId="2">
    <w:name w:val="heading 2"/>
    <w:basedOn w:val="a"/>
    <w:next w:val="a"/>
    <w:link w:val="20"/>
    <w:qFormat/>
    <w:rsid w:val="00F93A86"/>
    <w:pPr>
      <w:keepNext/>
      <w:widowControl/>
      <w:jc w:val="center"/>
      <w:outlineLvl w:val="1"/>
    </w:pPr>
    <w:rPr>
      <w:rFonts w:ascii="Arial CYR" w:eastAsia="Times New Roman" w:hAnsi="Arial CYR" w:cs="Times New Roman"/>
      <w:b/>
      <w:bCs/>
      <w:color w:val="auto"/>
      <w:kern w:val="2"/>
      <w:lang w:bidi="ar-SA"/>
    </w:rPr>
  </w:style>
  <w:style w:type="paragraph" w:styleId="3">
    <w:name w:val="heading 3"/>
    <w:basedOn w:val="a"/>
    <w:next w:val="a"/>
    <w:link w:val="30"/>
    <w:qFormat/>
    <w:rsid w:val="00F93A86"/>
    <w:pPr>
      <w:keepNext/>
      <w:widowControl/>
      <w:outlineLvl w:val="2"/>
    </w:pPr>
    <w:rPr>
      <w:rFonts w:ascii="Arial CYR" w:eastAsia="Times New Roman" w:hAnsi="Arial CYR" w:cs="Times New Roman"/>
      <w:b/>
      <w:color w:val="auto"/>
      <w:kern w:val="2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2B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A652B8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imesNewRoman11pt">
    <w:name w:val="Колонтитул (2) + Times New Roman;11 pt"/>
    <w:basedOn w:val="25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Колонтитул (2)"/>
    <w:basedOn w:val="25"/>
    <w:rsid w:val="00A652B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;Курсив"/>
    <w:basedOn w:val="21"/>
    <w:rsid w:val="00A652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A652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sid w:val="00A65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Колонтитул (4)_"/>
    <w:basedOn w:val="a0"/>
    <w:link w:val="40"/>
    <w:rsid w:val="00A652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2115pt">
    <w:name w:val="Основной текст (2) + 11;5 pt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A65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652B8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652B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Колонтитул (2)"/>
    <w:basedOn w:val="a"/>
    <w:link w:val="25"/>
    <w:rsid w:val="00A652B8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paragraph" w:customStyle="1" w:styleId="32">
    <w:name w:val="Основной текст (3)"/>
    <w:basedOn w:val="a"/>
    <w:link w:val="31"/>
    <w:rsid w:val="00A652B8"/>
    <w:pPr>
      <w:shd w:val="clear" w:color="auto" w:fill="FFFFFF"/>
      <w:spacing w:before="240" w:line="317" w:lineRule="exact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Колонтитул (3)"/>
    <w:basedOn w:val="a"/>
    <w:link w:val="33"/>
    <w:rsid w:val="00A65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Колонтитул (4)"/>
    <w:basedOn w:val="a"/>
    <w:link w:val="4"/>
    <w:rsid w:val="00A652B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6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922"/>
    <w:rPr>
      <w:color w:val="000000"/>
    </w:rPr>
  </w:style>
  <w:style w:type="paragraph" w:styleId="a8">
    <w:name w:val="footer"/>
    <w:basedOn w:val="a"/>
    <w:link w:val="a9"/>
    <w:unhideWhenUsed/>
    <w:rsid w:val="00B6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922"/>
    <w:rPr>
      <w:color w:val="000000"/>
    </w:rPr>
  </w:style>
  <w:style w:type="table" w:styleId="aa">
    <w:name w:val="Table Grid"/>
    <w:basedOn w:val="a1"/>
    <w:uiPriority w:val="59"/>
    <w:rsid w:val="00D72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F8549E"/>
    <w:pPr>
      <w:widowControl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bidi="ar-SA"/>
    </w:rPr>
  </w:style>
  <w:style w:type="paragraph" w:customStyle="1" w:styleId="13">
    <w:name w:val="Основной текст с отступом.Основной текст 1"/>
    <w:basedOn w:val="a"/>
    <w:rsid w:val="002251A7"/>
    <w:pPr>
      <w:widowControl/>
      <w:ind w:left="425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10">
    <w:name w:val="Основной текст 21"/>
    <w:basedOn w:val="a"/>
    <w:rsid w:val="002251A7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14">
    <w:name w:val="Без интервала1"/>
    <w:rsid w:val="002251A7"/>
    <w:pPr>
      <w:widowControl/>
    </w:pPr>
    <w:rPr>
      <w:rFonts w:ascii="Times New Roman" w:eastAsia="Calibri" w:hAnsi="Times New Roman" w:cs="Times New Roman"/>
      <w:lang w:bidi="ar-SA"/>
    </w:rPr>
  </w:style>
  <w:style w:type="paragraph" w:styleId="ab">
    <w:name w:val="Title"/>
    <w:basedOn w:val="a"/>
    <w:link w:val="ac"/>
    <w:uiPriority w:val="99"/>
    <w:qFormat/>
    <w:rsid w:val="002251A7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c">
    <w:name w:val="Название Знак"/>
    <w:basedOn w:val="a0"/>
    <w:link w:val="ab"/>
    <w:uiPriority w:val="99"/>
    <w:rsid w:val="002251A7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d">
    <w:name w:val="Normal (Web)"/>
    <w:aliases w:val="Обычный (Web)1,Обычный (Web)"/>
    <w:basedOn w:val="a"/>
    <w:link w:val="ae"/>
    <w:uiPriority w:val="99"/>
    <w:rsid w:val="002251A7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Cs w:val="20"/>
      <w:lang w:bidi="ar-SA"/>
    </w:rPr>
  </w:style>
  <w:style w:type="character" w:customStyle="1" w:styleId="ae">
    <w:name w:val="Обычный (веб) Знак"/>
    <w:aliases w:val="Обычный (Web)1 Знак,Обычный (Web) Знак"/>
    <w:link w:val="ad"/>
    <w:uiPriority w:val="99"/>
    <w:locked/>
    <w:rsid w:val="002251A7"/>
    <w:rPr>
      <w:rFonts w:ascii="Times New Roman" w:eastAsia="Calibri" w:hAnsi="Times New Roman" w:cs="Times New Roman"/>
      <w:szCs w:val="20"/>
      <w:lang w:bidi="ar-SA"/>
    </w:rPr>
  </w:style>
  <w:style w:type="paragraph" w:styleId="af">
    <w:name w:val="Body Text Indent"/>
    <w:aliases w:val="Основной текст 1"/>
    <w:basedOn w:val="a"/>
    <w:link w:val="af0"/>
    <w:uiPriority w:val="99"/>
    <w:rsid w:val="002251A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2251A7"/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uiPriority w:val="99"/>
    <w:rsid w:val="002251A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  <w:style w:type="paragraph" w:styleId="af1">
    <w:name w:val="Body Text"/>
    <w:basedOn w:val="a"/>
    <w:link w:val="af2"/>
    <w:uiPriority w:val="99"/>
    <w:unhideWhenUsed/>
    <w:rsid w:val="0045784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57840"/>
    <w:rPr>
      <w:color w:val="000000"/>
    </w:rPr>
  </w:style>
  <w:style w:type="paragraph" w:customStyle="1" w:styleId="Default">
    <w:name w:val="Default"/>
    <w:rsid w:val="002871F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35">
    <w:name w:val="Body Text Indent 3"/>
    <w:basedOn w:val="a"/>
    <w:link w:val="36"/>
    <w:uiPriority w:val="99"/>
    <w:unhideWhenUsed/>
    <w:rsid w:val="007F3A6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7F3A65"/>
    <w:rPr>
      <w:color w:val="000000"/>
      <w:sz w:val="16"/>
      <w:szCs w:val="16"/>
    </w:rPr>
  </w:style>
  <w:style w:type="paragraph" w:customStyle="1" w:styleId="220">
    <w:name w:val="Основной текст 22"/>
    <w:basedOn w:val="a"/>
    <w:rsid w:val="00440792"/>
    <w:pPr>
      <w:widowControl/>
      <w:ind w:left="573"/>
      <w:jc w:val="both"/>
    </w:pPr>
    <w:rPr>
      <w:rFonts w:ascii="Journal" w:eastAsia="Times New Roman" w:hAnsi="Journal" w:cs="Times New Roman"/>
      <w:color w:val="auto"/>
      <w:sz w:val="28"/>
      <w:szCs w:val="20"/>
      <w:lang w:bidi="ar-SA"/>
    </w:rPr>
  </w:style>
  <w:style w:type="paragraph" w:styleId="2c">
    <w:name w:val="Body Text 2"/>
    <w:basedOn w:val="a"/>
    <w:link w:val="2d"/>
    <w:unhideWhenUsed/>
    <w:rsid w:val="00D5637A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rsid w:val="00D5637A"/>
    <w:rPr>
      <w:color w:val="000000"/>
    </w:rPr>
  </w:style>
  <w:style w:type="paragraph" w:customStyle="1" w:styleId="5">
    <w:name w:val="Основной текст5"/>
    <w:basedOn w:val="a"/>
    <w:uiPriority w:val="99"/>
    <w:rsid w:val="0049744D"/>
    <w:pPr>
      <w:shd w:val="clear" w:color="auto" w:fill="FFFFFF"/>
      <w:spacing w:before="60" w:after="300" w:line="240" w:lineRule="atLeast"/>
      <w:ind w:hanging="720"/>
      <w:jc w:val="center"/>
    </w:pPr>
    <w:rPr>
      <w:rFonts w:ascii="Arial" w:eastAsia="Times New Roman" w:hAnsi="Arial" w:cs="Arial"/>
      <w:color w:val="auto"/>
      <w:spacing w:val="5"/>
      <w:sz w:val="17"/>
      <w:szCs w:val="17"/>
      <w:lang w:bidi="ar-SA"/>
    </w:rPr>
  </w:style>
  <w:style w:type="character" w:customStyle="1" w:styleId="10">
    <w:name w:val="Заголовок 1 Знак"/>
    <w:basedOn w:val="a0"/>
    <w:link w:val="1"/>
    <w:rsid w:val="00F93A86"/>
    <w:rPr>
      <w:rFonts w:ascii="Arial CYR" w:eastAsia="Times New Roman" w:hAnsi="Arial CYR" w:cs="Times New Roman"/>
      <w:b/>
      <w:bCs/>
      <w:kern w:val="2"/>
      <w:lang w:bidi="ar-SA"/>
    </w:rPr>
  </w:style>
  <w:style w:type="character" w:customStyle="1" w:styleId="20">
    <w:name w:val="Заголовок 2 Знак"/>
    <w:basedOn w:val="a0"/>
    <w:link w:val="2"/>
    <w:rsid w:val="00F93A86"/>
    <w:rPr>
      <w:rFonts w:ascii="Arial CYR" w:eastAsia="Times New Roman" w:hAnsi="Arial CYR" w:cs="Times New Roman"/>
      <w:b/>
      <w:bCs/>
      <w:kern w:val="2"/>
      <w:lang w:bidi="ar-SA"/>
    </w:rPr>
  </w:style>
  <w:style w:type="character" w:customStyle="1" w:styleId="30">
    <w:name w:val="Заголовок 3 Знак"/>
    <w:basedOn w:val="a0"/>
    <w:link w:val="3"/>
    <w:rsid w:val="00F93A86"/>
    <w:rPr>
      <w:rFonts w:ascii="Arial CYR" w:eastAsia="Times New Roman" w:hAnsi="Arial CYR" w:cs="Times New Roman"/>
      <w:b/>
      <w:kern w:val="2"/>
      <w:sz w:val="18"/>
      <w:lang w:bidi="ar-SA"/>
    </w:rPr>
  </w:style>
  <w:style w:type="paragraph" w:styleId="af3">
    <w:name w:val="Document Map"/>
    <w:basedOn w:val="a"/>
    <w:link w:val="af4"/>
    <w:unhideWhenUsed/>
    <w:rsid w:val="00F93A86"/>
    <w:pPr>
      <w:widowControl/>
      <w:shd w:val="clear" w:color="auto" w:fill="000080"/>
    </w:pPr>
    <w:rPr>
      <w:rFonts w:ascii="Tahoma" w:eastAsia="Times New Roman" w:hAnsi="Tahoma" w:cs="Times New Roman"/>
      <w:color w:val="auto"/>
      <w:kern w:val="2"/>
      <w:lang w:bidi="ar-SA"/>
    </w:rPr>
  </w:style>
  <w:style w:type="character" w:customStyle="1" w:styleId="af4">
    <w:name w:val="Схема документа Знак"/>
    <w:basedOn w:val="a0"/>
    <w:link w:val="af3"/>
    <w:rsid w:val="00F93A86"/>
    <w:rPr>
      <w:rFonts w:ascii="Tahoma" w:eastAsia="Times New Roman" w:hAnsi="Tahoma" w:cs="Times New Roman"/>
      <w:kern w:val="2"/>
      <w:shd w:val="clear" w:color="auto" w:fill="000080"/>
      <w:lang w:bidi="ar-SA"/>
    </w:rPr>
  </w:style>
  <w:style w:type="paragraph" w:styleId="af5">
    <w:name w:val="Balloon Text"/>
    <w:basedOn w:val="a"/>
    <w:link w:val="af6"/>
    <w:unhideWhenUsed/>
    <w:rsid w:val="00F93A86"/>
    <w:pPr>
      <w:widowControl/>
    </w:pPr>
    <w:rPr>
      <w:rFonts w:ascii="Tahoma" w:eastAsia="Times New Roman" w:hAnsi="Tahoma" w:cs="Times New Roman"/>
      <w:color w:val="auto"/>
      <w:kern w:val="2"/>
      <w:sz w:val="16"/>
      <w:szCs w:val="16"/>
      <w:lang w:bidi="ar-SA"/>
    </w:rPr>
  </w:style>
  <w:style w:type="character" w:customStyle="1" w:styleId="af6">
    <w:name w:val="Текст выноски Знак"/>
    <w:basedOn w:val="a0"/>
    <w:link w:val="af5"/>
    <w:rsid w:val="00F93A86"/>
    <w:rPr>
      <w:rFonts w:ascii="Tahoma" w:eastAsia="Times New Roman" w:hAnsi="Tahoma" w:cs="Times New Roman"/>
      <w:kern w:val="2"/>
      <w:sz w:val="16"/>
      <w:szCs w:val="16"/>
      <w:lang w:bidi="ar-SA"/>
    </w:rPr>
  </w:style>
  <w:style w:type="character" w:styleId="af7">
    <w:name w:val="page number"/>
    <w:basedOn w:val="a0"/>
    <w:rsid w:val="00F93A86"/>
  </w:style>
  <w:style w:type="paragraph" w:styleId="af8">
    <w:name w:val="List Paragraph"/>
    <w:basedOn w:val="a"/>
    <w:uiPriority w:val="34"/>
    <w:qFormat/>
    <w:rsid w:val="00F93A8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Normal">
    <w:name w:val="ConsPlusNormal"/>
    <w:rsid w:val="00C926D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C926D6"/>
  </w:style>
  <w:style w:type="paragraph" w:customStyle="1" w:styleId="BodyText21">
    <w:name w:val="Body Text 21"/>
    <w:basedOn w:val="a"/>
    <w:rsid w:val="00C926D6"/>
    <w:pPr>
      <w:widowControl/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bidi="ar-SA"/>
    </w:rPr>
  </w:style>
  <w:style w:type="character" w:customStyle="1" w:styleId="dockind">
    <w:name w:val="dockind"/>
    <w:basedOn w:val="a0"/>
    <w:rsid w:val="00C926D6"/>
  </w:style>
  <w:style w:type="character" w:customStyle="1" w:styleId="docdate">
    <w:name w:val="docdate"/>
    <w:basedOn w:val="a0"/>
    <w:rsid w:val="00C926D6"/>
  </w:style>
  <w:style w:type="character" w:customStyle="1" w:styleId="docnumber">
    <w:name w:val="docnumber"/>
    <w:basedOn w:val="a0"/>
    <w:rsid w:val="00C926D6"/>
  </w:style>
  <w:style w:type="character" w:styleId="af9">
    <w:name w:val="Emphasis"/>
    <w:uiPriority w:val="99"/>
    <w:qFormat/>
    <w:rsid w:val="00C926D6"/>
    <w:rPr>
      <w:rFonts w:cs="Times New Roman"/>
      <w:i/>
    </w:rPr>
  </w:style>
  <w:style w:type="character" w:customStyle="1" w:styleId="afa">
    <w:name w:val="Основной текст_"/>
    <w:link w:val="37"/>
    <w:uiPriority w:val="99"/>
    <w:locked/>
    <w:rsid w:val="00C926D6"/>
    <w:rPr>
      <w:sz w:val="25"/>
      <w:shd w:val="clear" w:color="auto" w:fill="FFFFFF"/>
    </w:rPr>
  </w:style>
  <w:style w:type="paragraph" w:customStyle="1" w:styleId="37">
    <w:name w:val="Основной текст3"/>
    <w:basedOn w:val="a"/>
    <w:link w:val="afa"/>
    <w:uiPriority w:val="99"/>
    <w:rsid w:val="00C926D6"/>
    <w:pPr>
      <w:widowControl/>
      <w:shd w:val="clear" w:color="auto" w:fill="FFFFFF"/>
      <w:spacing w:after="60" w:line="240" w:lineRule="atLeast"/>
      <w:ind w:hanging="300"/>
      <w:jc w:val="both"/>
    </w:pPr>
    <w:rPr>
      <w:color w:val="auto"/>
      <w:sz w:val="25"/>
      <w:shd w:val="clear" w:color="auto" w:fill="FFFFFF"/>
    </w:rPr>
  </w:style>
  <w:style w:type="character" w:customStyle="1" w:styleId="9">
    <w:name w:val="Основной текст + 9"/>
    <w:aliases w:val="5 pt"/>
    <w:basedOn w:val="a0"/>
    <w:uiPriority w:val="99"/>
    <w:rsid w:val="00C926D6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5">
    <w:name w:val="Название Знак1"/>
    <w:uiPriority w:val="99"/>
    <w:locked/>
    <w:rsid w:val="00C926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C926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201D-7C81-4680-AA61-80CE24C4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39</Pages>
  <Words>13434</Words>
  <Characters>76577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Лобосова ЭВ</cp:lastModifiedBy>
  <cp:revision>359</cp:revision>
  <cp:lastPrinted>2020-01-21T12:18:00Z</cp:lastPrinted>
  <dcterms:created xsi:type="dcterms:W3CDTF">2017-09-01T08:28:00Z</dcterms:created>
  <dcterms:modified xsi:type="dcterms:W3CDTF">2020-01-21T12:43:00Z</dcterms:modified>
</cp:coreProperties>
</file>