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D2" w:rsidRDefault="00600CD2" w:rsidP="00600CD2">
      <w:pPr>
        <w:jc w:val="right"/>
        <w:rPr>
          <w:bCs/>
        </w:rPr>
      </w:pPr>
      <w:r>
        <w:rPr>
          <w:bCs/>
        </w:rPr>
        <w:t xml:space="preserve">Вносится Губернатором Курской области </w:t>
      </w:r>
    </w:p>
    <w:p w:rsidR="00600CD2" w:rsidRDefault="00600CD2" w:rsidP="00600CD2">
      <w:pPr>
        <w:keepNext/>
        <w:tabs>
          <w:tab w:val="left" w:pos="-3261"/>
        </w:tabs>
        <w:jc w:val="right"/>
        <w:outlineLvl w:val="0"/>
        <w:rPr>
          <w:sz w:val="20"/>
          <w:szCs w:val="20"/>
        </w:rPr>
      </w:pPr>
    </w:p>
    <w:p w:rsidR="00600CD2" w:rsidRDefault="00600CD2" w:rsidP="00600CD2">
      <w:pPr>
        <w:keepNext/>
        <w:tabs>
          <w:tab w:val="left" w:pos="-3261"/>
        </w:tabs>
        <w:jc w:val="right"/>
        <w:outlineLvl w:val="0"/>
        <w:rPr>
          <w:szCs w:val="20"/>
        </w:rPr>
      </w:pPr>
      <w:r>
        <w:rPr>
          <w:szCs w:val="20"/>
        </w:rPr>
        <w:t xml:space="preserve">ПРОЕКТ  </w:t>
      </w:r>
    </w:p>
    <w:p w:rsidR="00600CD2" w:rsidRDefault="00600CD2" w:rsidP="00600CD2">
      <w:pPr>
        <w:keepNext/>
        <w:tabs>
          <w:tab w:val="left" w:pos="5529"/>
        </w:tabs>
        <w:jc w:val="center"/>
        <w:outlineLvl w:val="0"/>
        <w:rPr>
          <w:szCs w:val="28"/>
        </w:rPr>
      </w:pPr>
    </w:p>
    <w:p w:rsidR="00600CD2" w:rsidRDefault="00600CD2" w:rsidP="00600CD2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 xml:space="preserve">К У </w:t>
      </w:r>
      <w:proofErr w:type="gramStart"/>
      <w:r>
        <w:rPr>
          <w:b/>
          <w:spacing w:val="6"/>
          <w:sz w:val="34"/>
          <w:szCs w:val="34"/>
        </w:rPr>
        <w:t>Р</w:t>
      </w:r>
      <w:proofErr w:type="gramEnd"/>
      <w:r>
        <w:rPr>
          <w:b/>
          <w:spacing w:val="6"/>
          <w:sz w:val="34"/>
          <w:szCs w:val="34"/>
        </w:rPr>
        <w:t xml:space="preserve"> С К А Я    О Б Л А С Т Ь</w:t>
      </w:r>
    </w:p>
    <w:p w:rsidR="00600CD2" w:rsidRDefault="00600CD2" w:rsidP="00600CD2">
      <w:pPr>
        <w:jc w:val="center"/>
        <w:rPr>
          <w:b/>
          <w:sz w:val="34"/>
          <w:szCs w:val="34"/>
        </w:rPr>
      </w:pPr>
    </w:p>
    <w:p w:rsidR="00162FB8" w:rsidRPr="00600CD2" w:rsidRDefault="00600CD2" w:rsidP="00600CD2">
      <w:pPr>
        <w:jc w:val="center"/>
        <w:rPr>
          <w:b/>
          <w:spacing w:val="6"/>
          <w:sz w:val="36"/>
          <w:szCs w:val="36"/>
        </w:rPr>
      </w:pPr>
      <w:proofErr w:type="gramStart"/>
      <w:r>
        <w:rPr>
          <w:b/>
          <w:spacing w:val="6"/>
          <w:sz w:val="36"/>
          <w:szCs w:val="36"/>
        </w:rPr>
        <w:t>З</w:t>
      </w:r>
      <w:proofErr w:type="gramEnd"/>
      <w:r>
        <w:rPr>
          <w:b/>
          <w:spacing w:val="6"/>
          <w:sz w:val="36"/>
          <w:szCs w:val="36"/>
        </w:rPr>
        <w:t xml:space="preserve"> А К О Н</w:t>
      </w:r>
    </w:p>
    <w:p w:rsidR="00162FB8" w:rsidRDefault="00162FB8">
      <w:pPr>
        <w:jc w:val="center"/>
        <w:rPr>
          <w:b/>
        </w:rPr>
      </w:pPr>
    </w:p>
    <w:p w:rsidR="00600CD2" w:rsidRDefault="00600CD2">
      <w:pPr>
        <w:jc w:val="center"/>
        <w:rPr>
          <w:b/>
        </w:rPr>
      </w:pPr>
    </w:p>
    <w:p w:rsidR="00600CD2" w:rsidRDefault="00600CD2">
      <w:pPr>
        <w:jc w:val="center"/>
        <w:rPr>
          <w:b/>
        </w:rPr>
      </w:pPr>
    </w:p>
    <w:p w:rsidR="00162FB8" w:rsidRDefault="00162FB8">
      <w:pPr>
        <w:jc w:val="center"/>
        <w:rPr>
          <w:b/>
        </w:rPr>
      </w:pPr>
    </w:p>
    <w:p w:rsidR="00162FB8" w:rsidRDefault="00600CD2">
      <w:pPr>
        <w:jc w:val="center"/>
      </w:pPr>
      <w:r>
        <w:rPr>
          <w:rFonts w:cs="Times New Roman"/>
          <w:b/>
        </w:rPr>
        <w:t xml:space="preserve">О казачестве в Курской области </w:t>
      </w:r>
    </w:p>
    <w:p w:rsidR="00162FB8" w:rsidRDefault="00162FB8">
      <w:pPr>
        <w:jc w:val="center"/>
        <w:rPr>
          <w:b/>
        </w:rPr>
      </w:pPr>
    </w:p>
    <w:p w:rsidR="00162FB8" w:rsidRDefault="00162FB8">
      <w:pPr>
        <w:suppressAutoHyphens/>
        <w:jc w:val="left"/>
      </w:pPr>
    </w:p>
    <w:p w:rsidR="00162FB8" w:rsidRDefault="00600CD2">
      <w:pPr>
        <w:suppressAutoHyphens/>
        <w:ind w:firstLine="0"/>
        <w:jc w:val="left"/>
      </w:pPr>
      <w:proofErr w:type="gramStart"/>
      <w:r>
        <w:t>Принят</w:t>
      </w:r>
      <w:proofErr w:type="gramEnd"/>
      <w:r>
        <w:t xml:space="preserve"> Курской областной Думой        </w:t>
      </w:r>
      <w:bookmarkStart w:id="0" w:name="_GoBack"/>
      <w:bookmarkEnd w:id="0"/>
      <w:r>
        <w:t xml:space="preserve">             «____»__________2020 года</w:t>
      </w:r>
    </w:p>
    <w:p w:rsidR="00162FB8" w:rsidRDefault="00162FB8">
      <w:pPr>
        <w:suppressAutoHyphens/>
        <w:ind w:firstLine="0"/>
        <w:jc w:val="left"/>
      </w:pPr>
    </w:p>
    <w:p w:rsidR="00162FB8" w:rsidRDefault="00600CD2">
      <w:pPr>
        <w:widowControl w:val="0"/>
        <w:suppressAutoHyphens/>
        <w:ind w:firstLine="540"/>
      </w:pPr>
      <w:r>
        <w:t>Настоящий Закон Курской области определяет правовой статус казачества в Курской области, организационные и правовые основы привлечения казачества в Курской области к несению государственной службы и реализации социально ориентированных видов деятельности, а также меры государственной (областной) поддержки казачества в Курской  области.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 xml:space="preserve">Статья 1. </w:t>
      </w:r>
      <w:r>
        <w:t>Основные понятия, используемые в настоящем Законе Курской области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t>1. Для целей настоящего Закона Курской области используются следующие основные понятия:</w:t>
      </w:r>
    </w:p>
    <w:p w:rsidR="00162FB8" w:rsidRDefault="00600CD2">
      <w:pPr>
        <w:widowControl w:val="0"/>
        <w:suppressAutoHyphens/>
        <w:ind w:firstLine="540"/>
      </w:pPr>
      <w:r>
        <w:t>1) казачество в Курской области (далее также - казачество) - граждане Российской Федерации, постоянно проживающие в Курской области и являющиеся членами казачьих обществ в Курской области;</w:t>
      </w:r>
    </w:p>
    <w:p w:rsidR="00162FB8" w:rsidRDefault="00600CD2">
      <w:pPr>
        <w:widowControl w:val="0"/>
        <w:suppressAutoHyphens/>
        <w:ind w:firstLine="540"/>
      </w:pPr>
      <w:r>
        <w:t>2) казачье общество в Курской области (далее - казачье общество) - форма самоорганизации граждан Российской Федерации, постоянно проживающих в Курской области,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 с федеральным законодательством (некоммерческая организация).</w:t>
      </w:r>
    </w:p>
    <w:p w:rsidR="00162FB8" w:rsidRDefault="00600CD2">
      <w:pPr>
        <w:widowControl w:val="0"/>
        <w:suppressAutoHyphens/>
        <w:ind w:firstLine="540"/>
      </w:pPr>
      <w:r>
        <w:t>2. Иные понятия и термины, используемые в настоящем Законе Курской области, применяются в значениях, определенных Федеральным  законом «О государственной службе российского казачества».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 xml:space="preserve">Статья 2. </w:t>
      </w:r>
      <w:r>
        <w:t xml:space="preserve">Правовая основа деятельности казачества в Курской </w:t>
      </w:r>
      <w:r>
        <w:lastRenderedPageBreak/>
        <w:t>области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proofErr w:type="gramStart"/>
      <w:r>
        <w:t xml:space="preserve">Правовой основой деятельности казачества в Курской области являются </w:t>
      </w:r>
      <w:hyperlink r:id="rId6">
        <w:r>
          <w:rPr>
            <w:rStyle w:val="-"/>
            <w:color w:val="000000"/>
            <w:u w:val="none"/>
          </w:rPr>
          <w:t>Конституция</w:t>
        </w:r>
      </w:hyperlink>
      <w:r>
        <w:t xml:space="preserve"> Российской Федерации, Федеральный </w:t>
      </w:r>
      <w:hyperlink r:id="rId7">
        <w:r>
          <w:rPr>
            <w:rStyle w:val="-"/>
            <w:color w:val="000000"/>
            <w:u w:val="none"/>
          </w:rPr>
          <w:t>закон</w:t>
        </w:r>
      </w:hyperlink>
      <w:r>
        <w:t xml:space="preserve"> «О государственной службе российского казачества», другие федеральные законы и иные нормативные правовые акты Российской Федерации, настоящий Закон Курской области, иные законы Курской области и нормативные правовые акты Курской области, нормативные правовые акты органов местного самоуправления в области государственной службы.</w:t>
      </w:r>
      <w:proofErr w:type="gramEnd"/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 xml:space="preserve">Статья 3. </w:t>
      </w:r>
      <w:r>
        <w:t>Цели государственного регулирования развития казачества в Курской области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t>Государственное регулирование развития казачества в Курской  области осуществляется в целях:</w:t>
      </w:r>
    </w:p>
    <w:p w:rsidR="00162FB8" w:rsidRDefault="00600CD2">
      <w:pPr>
        <w:widowControl w:val="0"/>
        <w:suppressAutoHyphens/>
        <w:ind w:firstLine="540"/>
      </w:pPr>
      <w:r>
        <w:t>1) содействия объединению граждан Российской Федерации, постоянно проживающих на территории Курской области, в казачьи общества;</w:t>
      </w:r>
    </w:p>
    <w:p w:rsidR="00162FB8" w:rsidRDefault="00600CD2">
      <w:pPr>
        <w:widowControl w:val="0"/>
        <w:suppressAutoHyphens/>
        <w:ind w:firstLine="540"/>
      </w:pPr>
      <w:r>
        <w:t>2) возрождения российского казачества, сохранения традиционного образа жизни, хозяйствования и культуры российского казачества;</w:t>
      </w:r>
    </w:p>
    <w:p w:rsidR="00162FB8" w:rsidRDefault="00600CD2">
      <w:pPr>
        <w:widowControl w:val="0"/>
        <w:suppressAutoHyphens/>
        <w:ind w:firstLine="540"/>
      </w:pPr>
      <w:r>
        <w:t>3) государственной (областной) поддержки казачьих обществ;</w:t>
      </w:r>
    </w:p>
    <w:p w:rsidR="00162FB8" w:rsidRDefault="00600CD2">
      <w:pPr>
        <w:widowControl w:val="0"/>
        <w:suppressAutoHyphens/>
        <w:ind w:firstLine="540"/>
      </w:pPr>
      <w:r>
        <w:t>4) создания условий и формирования стимулов для экономического развития казачества в Курской области.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>Статья 4.</w:t>
      </w:r>
      <w:r>
        <w:t xml:space="preserve"> Государственная служба казачества в Курской области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t xml:space="preserve">1. </w:t>
      </w:r>
      <w:proofErr w:type="gramStart"/>
      <w:r>
        <w:t>Казачество в Курской области привлекается к несению государственной службы в Курской области в соответствии с федеральным законодательством и законодательством Курской области в области государственной службы при условии, что казачье общество, члены которого в установленном порядке приняли на себя обязательства по несению государственной службы в Курской области, внесено в государственный реестр казачьих обществ в Российской Федерации.</w:t>
      </w:r>
      <w:proofErr w:type="gramEnd"/>
    </w:p>
    <w:p w:rsidR="00162FB8" w:rsidRDefault="00600CD2">
      <w:pPr>
        <w:widowControl w:val="0"/>
        <w:suppressAutoHyphens/>
        <w:ind w:firstLine="540"/>
      </w:pPr>
      <w:r>
        <w:t>2. Казачество проходит государственную службу в Курской области в соответствии с федеральным законодательством и законодательством Курской области в области государственной службы.</w:t>
      </w:r>
    </w:p>
    <w:p w:rsidR="00162FB8" w:rsidRDefault="00600CD2">
      <w:pPr>
        <w:widowControl w:val="0"/>
        <w:suppressAutoHyphens/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 с казачьими обществами осуществляется органом исполнительным власти Курской области, уполномоченным Губернатором Курской области.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>Статья 5.</w:t>
      </w:r>
      <w:r>
        <w:t xml:space="preserve"> Привлечение казачества в Курской области к осуществлению иной службы в других сферах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lastRenderedPageBreak/>
        <w:t>Казачество в Курской  области в порядке и с соблюдением требований федерального законодательства может привлекаться органами исполнительной власти Курской области к осуществлению иной службы в следующих сферах деятельности: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1) охрана объектов животного мира;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2) охрана лесов;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3) охрана объектов обеспечения жизнедеятельности населения;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4) охрана объектов, находящихся в государственной собственности;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5) охрана объектов культурного наследия (памятников истории и культуры) регионального и местного значения;</w:t>
      </w:r>
    </w:p>
    <w:p w:rsidR="00162FB8" w:rsidRDefault="00600CD2">
      <w:pPr>
        <w:widowControl w:val="0"/>
        <w:suppressAutoHyphens/>
        <w:ind w:firstLine="540"/>
        <w:rPr>
          <w:highlight w:val="yellow"/>
        </w:rPr>
      </w:pPr>
      <w:r>
        <w:t>6) иных сферах в соответствии с законодательством Российской Федерации.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>Статья 6.</w:t>
      </w:r>
      <w:r>
        <w:t xml:space="preserve"> Государственная (областная) поддержка казачества в Курской области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t>1. Основными мерами государственной (областной) поддержки казачества в Курской области являются:</w:t>
      </w:r>
    </w:p>
    <w:p w:rsidR="00162FB8" w:rsidRDefault="00600CD2">
      <w:pPr>
        <w:widowControl w:val="0"/>
        <w:suppressAutoHyphens/>
        <w:ind w:firstLine="540"/>
      </w:pPr>
      <w:r>
        <w:t>1) включение в установленном порядке мероприятий (проектов) по поддержке казачества в Курской области в государственные программы Курской области, реализуемые за счет средств областного бюджета;</w:t>
      </w:r>
    </w:p>
    <w:p w:rsidR="00162FB8" w:rsidRDefault="00600CD2">
      <w:pPr>
        <w:widowControl w:val="0"/>
        <w:suppressAutoHyphens/>
        <w:ind w:firstLine="540"/>
      </w:pPr>
      <w:r>
        <w:t>2) оказание поддержки в формах, предусмотренных действующим законодательством для социально ориентированных некоммерческих организаций, при условии осуществления казачьими обществами в соответствии с учредительными документами соответствующих видов деятельности, определенных федеральным и областным законодательством;</w:t>
      </w:r>
    </w:p>
    <w:p w:rsidR="00162FB8" w:rsidRDefault="00600CD2">
      <w:pPr>
        <w:widowControl w:val="0"/>
        <w:suppressAutoHyphens/>
        <w:ind w:firstLine="540"/>
      </w:pPr>
      <w:r>
        <w:t>3) учет мнения казачества посредством участия представителей казачьих обществ в коллегиальной работе органов исполнительной власти Курской области по вопросам, входящим в сферу деятельности казачества в Курской области, в соответствии с федеральным и областным законодательством.</w:t>
      </w:r>
    </w:p>
    <w:p w:rsidR="00162FB8" w:rsidRDefault="00600CD2">
      <w:pPr>
        <w:widowControl w:val="0"/>
        <w:suppressAutoHyphens/>
        <w:ind w:firstLine="540"/>
      </w:pPr>
      <w:r>
        <w:t xml:space="preserve">2. Органы исполнительной власти Курской области в пределах полномочий, установленных законодательством, в целях возрождения культурно-исторических традиций казачества, духовных и нравственных основ казачества оказывают содействие деятельности казачества в Курской  области </w:t>
      </w:r>
      <w:proofErr w:type="gramStart"/>
      <w:r>
        <w:t>по</w:t>
      </w:r>
      <w:proofErr w:type="gramEnd"/>
      <w:r>
        <w:t>:</w:t>
      </w:r>
    </w:p>
    <w:p w:rsidR="00162FB8" w:rsidRDefault="00600CD2">
      <w:pPr>
        <w:widowControl w:val="0"/>
        <w:suppressAutoHyphens/>
        <w:ind w:firstLine="540"/>
      </w:pPr>
      <w:r>
        <w:t>1) созданию центров казачьей культуры;</w:t>
      </w:r>
    </w:p>
    <w:p w:rsidR="00162FB8" w:rsidRDefault="00600CD2">
      <w:pPr>
        <w:widowControl w:val="0"/>
        <w:suppressAutoHyphens/>
        <w:ind w:firstLine="540"/>
      </w:pPr>
      <w:r>
        <w:t>2) организации казачьих творческих коллективов;</w:t>
      </w:r>
    </w:p>
    <w:p w:rsidR="00162FB8" w:rsidRDefault="00600CD2">
      <w:pPr>
        <w:widowControl w:val="0"/>
        <w:suppressAutoHyphens/>
        <w:ind w:firstLine="540"/>
      </w:pPr>
      <w:r>
        <w:t>3) патриотическому воспитанию молодежи;</w:t>
      </w:r>
    </w:p>
    <w:p w:rsidR="00162FB8" w:rsidRDefault="00600CD2">
      <w:pPr>
        <w:widowControl w:val="0"/>
        <w:suppressAutoHyphens/>
        <w:ind w:firstLine="540"/>
      </w:pPr>
      <w:r>
        <w:t xml:space="preserve">4) реализации дополнительных образовательных </w:t>
      </w:r>
      <w:proofErr w:type="spellStart"/>
      <w:r>
        <w:t>общеразвивающих</w:t>
      </w:r>
      <w:proofErr w:type="spellEnd"/>
      <w:r>
        <w:t xml:space="preserve"> программ по истории и культуре казачества в образовательных организациях, созданных в соответствии с федеральным законодательством;</w:t>
      </w:r>
    </w:p>
    <w:p w:rsidR="00162FB8" w:rsidRDefault="00600CD2">
      <w:pPr>
        <w:widowControl w:val="0"/>
        <w:suppressAutoHyphens/>
        <w:ind w:firstLine="540"/>
      </w:pPr>
      <w:r>
        <w:lastRenderedPageBreak/>
        <w:t>5) созданию казачьих музеев, пополнению фондов и оформлению постоянно действующих казачьих экспозиций в государственных и негосударственных музеях в Курской области;</w:t>
      </w:r>
    </w:p>
    <w:p w:rsidR="00162FB8" w:rsidRDefault="00600CD2">
      <w:pPr>
        <w:widowControl w:val="0"/>
        <w:suppressAutoHyphens/>
        <w:ind w:firstLine="540"/>
      </w:pPr>
      <w:r>
        <w:t>6) изданию научной, учебной, художественной литературы и периодических печатных изданий, подготовке теле- и радиопередач по истории и возрождению казачества;</w:t>
      </w:r>
    </w:p>
    <w:p w:rsidR="00162FB8" w:rsidRDefault="00600CD2">
      <w:pPr>
        <w:widowControl w:val="0"/>
        <w:suppressAutoHyphens/>
        <w:ind w:firstLine="540"/>
      </w:pPr>
      <w:r>
        <w:t>7) проведению конкурсов на лучшее произведение живописи, скульптуры, фотоискусства, декоративно-прикладного искусства по казачьей тематике;</w:t>
      </w:r>
    </w:p>
    <w:p w:rsidR="00162FB8" w:rsidRDefault="00600CD2">
      <w:pPr>
        <w:widowControl w:val="0"/>
        <w:suppressAutoHyphens/>
        <w:ind w:firstLine="540"/>
      </w:pPr>
      <w:r>
        <w:t>8) возрождению и развитию традиционных казачьих художественных промыслов и ремесел;</w:t>
      </w:r>
    </w:p>
    <w:p w:rsidR="00162FB8" w:rsidRDefault="00600CD2">
      <w:pPr>
        <w:widowControl w:val="0"/>
        <w:suppressAutoHyphens/>
        <w:ind w:firstLine="540"/>
      </w:pPr>
      <w:r>
        <w:t>9) восстановлению объектов, связанных с культурно-историческими событиями в жизни казачества.</w:t>
      </w:r>
    </w:p>
    <w:p w:rsidR="00162FB8" w:rsidRDefault="00600CD2">
      <w:pPr>
        <w:widowControl w:val="0"/>
        <w:suppressAutoHyphens/>
        <w:ind w:firstLine="540"/>
      </w:pPr>
      <w:r>
        <w:t>3. Государственная (областная) поддержка казачества в Курской  области может осуществляться в иных формах, не противоречащих законодательству.</w:t>
      </w:r>
    </w:p>
    <w:p w:rsidR="00162FB8" w:rsidRDefault="00162FB8">
      <w:pPr>
        <w:widowControl w:val="0"/>
        <w:suppressAutoHyphens/>
        <w:ind w:firstLine="540"/>
        <w:outlineLvl w:val="0"/>
      </w:pPr>
    </w:p>
    <w:p w:rsidR="00162FB8" w:rsidRDefault="00600CD2">
      <w:pPr>
        <w:widowControl w:val="0"/>
        <w:suppressAutoHyphens/>
        <w:ind w:firstLine="540"/>
        <w:outlineLvl w:val="0"/>
      </w:pPr>
      <w:bookmarkStart w:id="1" w:name="__DdeLink__77_1344853465"/>
      <w:r>
        <w:rPr>
          <w:b/>
          <w:bCs/>
        </w:rPr>
        <w:t xml:space="preserve">Статья 7. </w:t>
      </w:r>
      <w:r>
        <w:t>Финансовое обеспечение расходных обязательств Курской области, связанных с исполнением настоящего Закона</w:t>
      </w:r>
      <w:bookmarkEnd w:id="1"/>
    </w:p>
    <w:p w:rsidR="00162FB8" w:rsidRDefault="00162FB8">
      <w:pPr>
        <w:widowControl w:val="0"/>
        <w:suppressAutoHyphens/>
        <w:ind w:firstLine="540"/>
        <w:outlineLvl w:val="0"/>
      </w:pPr>
    </w:p>
    <w:p w:rsidR="00162FB8" w:rsidRDefault="00600CD2">
      <w:pPr>
        <w:widowControl w:val="0"/>
        <w:suppressAutoHyphens/>
        <w:ind w:firstLine="540"/>
      </w:pPr>
      <w:r>
        <w:t>Финансовое обеспечение расходных обязательств Курской области, связанных с исполнением настоящего Закона, осуществляется за счет средств областного бюджета, в том числе в рамках государственных программ Курской области и иных, не запрещенных бюджетным законодательством Российской Федерации источников.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  <w:outlineLvl w:val="0"/>
      </w:pPr>
      <w:r>
        <w:rPr>
          <w:b/>
          <w:bCs/>
        </w:rPr>
        <w:t>Статья 8.</w:t>
      </w:r>
      <w:r>
        <w:t xml:space="preserve"> Вступление в силу настоящего Закона</w:t>
      </w:r>
    </w:p>
    <w:p w:rsidR="00162FB8" w:rsidRDefault="00162FB8">
      <w:pPr>
        <w:widowControl w:val="0"/>
        <w:suppressAutoHyphens/>
        <w:ind w:firstLine="540"/>
      </w:pPr>
    </w:p>
    <w:p w:rsidR="00162FB8" w:rsidRDefault="00600CD2">
      <w:pPr>
        <w:widowControl w:val="0"/>
        <w:suppressAutoHyphens/>
        <w:ind w:firstLine="540"/>
      </w:pPr>
      <w:r>
        <w:t>Настоящий Закон Курской области вступает в силу по истечении        10 дней после его официального опубликования.</w:t>
      </w:r>
    </w:p>
    <w:p w:rsidR="00162FB8" w:rsidRDefault="00162FB8">
      <w:pPr>
        <w:widowControl w:val="0"/>
        <w:suppressAutoHyphens/>
        <w:ind w:firstLine="540"/>
        <w:rPr>
          <w:rFonts w:cs="Times New Roman"/>
          <w:szCs w:val="28"/>
        </w:rPr>
      </w:pPr>
    </w:p>
    <w:p w:rsidR="00162FB8" w:rsidRDefault="00162FB8">
      <w:pPr>
        <w:suppressAutoHyphens/>
      </w:pPr>
    </w:p>
    <w:p w:rsidR="00162FB8" w:rsidRDefault="00162FB8">
      <w:pPr>
        <w:pStyle w:val="aa"/>
        <w:suppressAutoHyphens/>
        <w:ind w:left="0" w:firstLine="0"/>
        <w:rPr>
          <w:rFonts w:cs="Times New Roman"/>
          <w:szCs w:val="28"/>
        </w:rPr>
      </w:pPr>
    </w:p>
    <w:p w:rsidR="00162FB8" w:rsidRDefault="00600CD2">
      <w:pPr>
        <w:pStyle w:val="aa"/>
        <w:suppressAutoHyphens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162FB8" w:rsidRDefault="00600CD2">
      <w:pPr>
        <w:pStyle w:val="aa"/>
        <w:suppressAutoHyphens/>
        <w:ind w:left="0" w:firstLine="0"/>
      </w:pPr>
      <w:r>
        <w:rPr>
          <w:rFonts w:cs="Times New Roman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rFonts w:cs="Times New Roman"/>
          <w:szCs w:val="28"/>
        </w:rPr>
        <w:t>Старовойт</w:t>
      </w:r>
      <w:proofErr w:type="spellEnd"/>
    </w:p>
    <w:p w:rsidR="00162FB8" w:rsidRDefault="00162FB8">
      <w:pPr>
        <w:pStyle w:val="aa"/>
        <w:suppressAutoHyphens/>
        <w:ind w:left="0" w:firstLine="0"/>
        <w:rPr>
          <w:rFonts w:cs="Times New Roman"/>
          <w:szCs w:val="28"/>
        </w:rPr>
      </w:pPr>
    </w:p>
    <w:p w:rsidR="00162FB8" w:rsidRDefault="00162FB8">
      <w:pPr>
        <w:pStyle w:val="aa"/>
        <w:suppressAutoHyphens/>
        <w:ind w:left="0" w:firstLine="0"/>
        <w:rPr>
          <w:rFonts w:cs="Times New Roman"/>
          <w:szCs w:val="28"/>
        </w:rPr>
      </w:pPr>
    </w:p>
    <w:p w:rsidR="00162FB8" w:rsidRDefault="00600CD2">
      <w:pPr>
        <w:pStyle w:val="aa"/>
        <w:suppressAutoHyphens/>
        <w:ind w:left="0" w:firstLine="0"/>
        <w:jc w:val="left"/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урск</w:t>
      </w:r>
    </w:p>
    <w:p w:rsidR="00162FB8" w:rsidRDefault="00600CD2">
      <w:pPr>
        <w:pStyle w:val="aa"/>
        <w:suppressAutoHyphens/>
        <w:ind w:left="0" w:firstLine="0"/>
        <w:jc w:val="left"/>
      </w:pPr>
      <w:r>
        <w:rPr>
          <w:rFonts w:cs="Times New Roman"/>
          <w:szCs w:val="28"/>
        </w:rPr>
        <w:t>«___»__________2020 г.</w:t>
      </w:r>
    </w:p>
    <w:p w:rsidR="00162FB8" w:rsidRDefault="00600CD2">
      <w:pPr>
        <w:pStyle w:val="aa"/>
        <w:suppressAutoHyphens/>
        <w:ind w:firstLine="0"/>
        <w:jc w:val="left"/>
      </w:pPr>
      <w:r>
        <w:rPr>
          <w:rFonts w:cs="Times New Roman"/>
          <w:szCs w:val="28"/>
        </w:rPr>
        <w:t>№____-ЗКО</w:t>
      </w:r>
    </w:p>
    <w:p w:rsidR="00162FB8" w:rsidRDefault="00162FB8">
      <w:pPr>
        <w:pStyle w:val="aa"/>
        <w:suppressAutoHyphens/>
        <w:ind w:firstLine="0"/>
        <w:jc w:val="left"/>
        <w:rPr>
          <w:rFonts w:cs="Times New Roman"/>
          <w:szCs w:val="28"/>
        </w:rPr>
      </w:pPr>
    </w:p>
    <w:p w:rsidR="00162FB8" w:rsidRDefault="00162FB8">
      <w:pPr>
        <w:pStyle w:val="aa"/>
        <w:suppressAutoHyphens/>
        <w:ind w:firstLine="0"/>
        <w:jc w:val="left"/>
        <w:rPr>
          <w:rFonts w:cs="Times New Roman"/>
          <w:szCs w:val="28"/>
        </w:rPr>
      </w:pPr>
    </w:p>
    <w:p w:rsidR="00162FB8" w:rsidRDefault="00162FB8">
      <w:pPr>
        <w:widowControl w:val="0"/>
        <w:suppressAutoHyphens/>
        <w:ind w:firstLine="540"/>
        <w:jc w:val="left"/>
      </w:pPr>
    </w:p>
    <w:sectPr w:rsidR="00162FB8" w:rsidSect="00600CD2">
      <w:headerReference w:type="default" r:id="rId8"/>
      <w:pgSz w:w="11906" w:h="16838"/>
      <w:pgMar w:top="1276" w:right="1134" w:bottom="1134" w:left="1701" w:header="1134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B8" w:rsidRDefault="00162FB8" w:rsidP="00162FB8">
      <w:r>
        <w:separator/>
      </w:r>
    </w:p>
  </w:endnote>
  <w:endnote w:type="continuationSeparator" w:id="1">
    <w:p w:rsidR="00162FB8" w:rsidRDefault="00162FB8" w:rsidP="0016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B8" w:rsidRDefault="00162FB8" w:rsidP="00162FB8">
      <w:r>
        <w:separator/>
      </w:r>
    </w:p>
  </w:footnote>
  <w:footnote w:type="continuationSeparator" w:id="1">
    <w:p w:rsidR="00162FB8" w:rsidRDefault="00162FB8" w:rsidP="00162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B8" w:rsidRDefault="00162FB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B8"/>
    <w:rsid w:val="00162FB8"/>
    <w:rsid w:val="00600CD2"/>
    <w:rsid w:val="009B4965"/>
    <w:rsid w:val="00CB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44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3C44"/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F75B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62FB8"/>
    <w:rPr>
      <w:color w:val="000080"/>
      <w:u w:val="single"/>
    </w:rPr>
  </w:style>
  <w:style w:type="character" w:customStyle="1" w:styleId="ListLabel1">
    <w:name w:val="ListLabel 1"/>
    <w:qFormat/>
    <w:rsid w:val="00162FB8"/>
    <w:rPr>
      <w:color w:val="000000"/>
      <w:u w:val="none"/>
    </w:rPr>
  </w:style>
  <w:style w:type="character" w:customStyle="1" w:styleId="a5">
    <w:name w:val="Символ нумерации"/>
    <w:qFormat/>
    <w:rsid w:val="00162FB8"/>
  </w:style>
  <w:style w:type="character" w:customStyle="1" w:styleId="ListLabel2">
    <w:name w:val="ListLabel 2"/>
    <w:qFormat/>
    <w:rsid w:val="00162FB8"/>
    <w:rPr>
      <w:color w:val="000000"/>
      <w:u w:val="none"/>
    </w:rPr>
  </w:style>
  <w:style w:type="character" w:customStyle="1" w:styleId="ListLabel3">
    <w:name w:val="ListLabel 3"/>
    <w:qFormat/>
    <w:rsid w:val="00162FB8"/>
    <w:rPr>
      <w:color w:val="000000"/>
      <w:u w:val="none"/>
    </w:rPr>
  </w:style>
  <w:style w:type="character" w:customStyle="1" w:styleId="ListLabel4">
    <w:name w:val="ListLabel 4"/>
    <w:qFormat/>
    <w:rsid w:val="00162FB8"/>
    <w:rPr>
      <w:color w:val="000000"/>
      <w:u w:val="none"/>
    </w:rPr>
  </w:style>
  <w:style w:type="character" w:customStyle="1" w:styleId="ListLabel5">
    <w:name w:val="ListLabel 5"/>
    <w:qFormat/>
    <w:rsid w:val="00162FB8"/>
    <w:rPr>
      <w:color w:val="000000"/>
      <w:u w:val="none"/>
    </w:rPr>
  </w:style>
  <w:style w:type="character" w:customStyle="1" w:styleId="ListLabel6">
    <w:name w:val="ListLabel 6"/>
    <w:qFormat/>
    <w:rsid w:val="00162FB8"/>
    <w:rPr>
      <w:color w:val="000000"/>
      <w:u w:val="none"/>
    </w:rPr>
  </w:style>
  <w:style w:type="character" w:customStyle="1" w:styleId="ListLabel7">
    <w:name w:val="ListLabel 7"/>
    <w:qFormat/>
    <w:rsid w:val="00162FB8"/>
    <w:rPr>
      <w:color w:val="000000"/>
      <w:u w:val="none"/>
    </w:rPr>
  </w:style>
  <w:style w:type="character" w:customStyle="1" w:styleId="ListLabel8">
    <w:name w:val="ListLabel 8"/>
    <w:qFormat/>
    <w:rsid w:val="00162FB8"/>
    <w:rPr>
      <w:color w:val="000000"/>
      <w:u w:val="none"/>
    </w:rPr>
  </w:style>
  <w:style w:type="paragraph" w:customStyle="1" w:styleId="a6">
    <w:name w:val="Заголовок"/>
    <w:basedOn w:val="a"/>
    <w:next w:val="a7"/>
    <w:qFormat/>
    <w:rsid w:val="00162FB8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7">
    <w:name w:val="Body Text"/>
    <w:basedOn w:val="a"/>
    <w:rsid w:val="00162FB8"/>
    <w:pPr>
      <w:spacing w:after="140" w:line="276" w:lineRule="auto"/>
    </w:pPr>
  </w:style>
  <w:style w:type="paragraph" w:styleId="a8">
    <w:name w:val="List"/>
    <w:basedOn w:val="a7"/>
    <w:rsid w:val="00162FB8"/>
    <w:rPr>
      <w:rFonts w:cs="Droid Sans Devanagari"/>
    </w:rPr>
  </w:style>
  <w:style w:type="paragraph" w:customStyle="1" w:styleId="Caption">
    <w:name w:val="Caption"/>
    <w:basedOn w:val="a"/>
    <w:qFormat/>
    <w:rsid w:val="00162FB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162FB8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1A3C44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A3C4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A3C4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F75B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"/>
    <w:uiPriority w:val="99"/>
    <w:semiHidden/>
    <w:unhideWhenUsed/>
    <w:rsid w:val="00600CD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600CD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600C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0CD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94C131E941B67B8FF6E6AC7E295D2D6748B4FE874DD569DFFBD84AF85707558D40963F121CA487Z5R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4C131E941B67B8FF6E6AC7E295D2D6441B7FD8C1E826B8EAED6Z4RF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Валера</cp:lastModifiedBy>
  <cp:revision>33</cp:revision>
  <cp:lastPrinted>2020-02-13T16:41:00Z</cp:lastPrinted>
  <dcterms:created xsi:type="dcterms:W3CDTF">2018-04-03T12:17:00Z</dcterms:created>
  <dcterms:modified xsi:type="dcterms:W3CDTF">2020-03-25T06:38:00Z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