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13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47"/>
        <w:gridCol w:w="5787"/>
      </w:tblGrid>
      <w:tr>
        <w:trPr/>
        <w:tc>
          <w:tcPr>
            <w:tcW w:w="3347" w:type="dxa"/>
            <w:tcBorders/>
            <w:shd w:fill="auto" w:val="clear"/>
          </w:tcPr>
          <w:p>
            <w:pPr>
              <w:pStyle w:val="Normal"/>
              <w:keepNext w:val="true"/>
              <w:snapToGrid w:val="false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787" w:type="dxa"/>
            <w:tcBorders/>
            <w:shd w:fill="auto" w:val="clear"/>
          </w:tcPr>
          <w:p>
            <w:pPr>
              <w:pStyle w:val="Normal"/>
              <w:keepNext w:val="true"/>
              <w:ind w:hanging="0"/>
              <w:jc w:val="center"/>
              <w:rPr/>
            </w:pPr>
            <w:r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t>УТВЕРЖДЕНО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>постановлением Администрации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>Курской области</w:t>
            </w:r>
          </w:p>
          <w:p>
            <w:pPr>
              <w:pStyle w:val="Normal"/>
              <w:keepNext w:val="true"/>
              <w:jc w:val="center"/>
              <w:rPr/>
            </w:pPr>
            <w:r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>от_____________ №___________</w:t>
            </w:r>
          </w:p>
          <w:p>
            <w:pPr>
              <w:pStyle w:val="Normal"/>
              <w:keepNext w:val="tru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keepNext w:val="true"/>
              <w:rPr/>
            </w:pPr>
            <w:r>
              <w:rPr/>
            </w:r>
          </w:p>
        </w:tc>
      </w:tr>
    </w:tbl>
    <w:p>
      <w:pPr>
        <w:pStyle w:val="Normal"/>
        <w:keepNext w:val="true"/>
        <w:spacing w:lineRule="auto" w:line="240" w:before="0" w:after="0"/>
        <w:ind w:left="0" w:right="0" w:hanging="0"/>
        <w:jc w:val="center"/>
        <w:rPr/>
      </w:pPr>
      <w:r>
        <w:rPr>
          <w:b/>
          <w:sz w:val="28"/>
          <w:szCs w:val="28"/>
        </w:rPr>
        <w:t>ПОЛОЖЕНИЕ</w:t>
      </w:r>
    </w:p>
    <w:p>
      <w:pPr>
        <w:pStyle w:val="Normal"/>
        <w:keepNext w:val="true"/>
        <w:spacing w:lineRule="auto" w:line="240" w:before="0" w:after="0"/>
        <w:ind w:left="0" w:right="0" w:hanging="0"/>
        <w:jc w:val="center"/>
        <w:rPr/>
      </w:pPr>
      <w:r>
        <w:rPr>
          <w:b/>
          <w:sz w:val="28"/>
          <w:szCs w:val="28"/>
        </w:rPr>
        <w:t>о памятнике природы регионального значения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«Балка Лепешка»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1. Общие положения</w:t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1.1. Особо охраняемая природная территория (ООПТ) регионального значения «Балка Лепешка»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организована в соответствии с Федеральным законом от 14 марта 1995 года № 33-ФЗ «Об особо охраняемых природных территориях», Законом Курской области от 22 ноября 2007 года                № 118-ЗКО «О некоторых вопросах в области организации,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             2020 года».</w:t>
      </w:r>
    </w:p>
    <w:p>
      <w:pPr>
        <w:pStyle w:val="ListParagraph"/>
        <w:keepNext w:val="true"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1.2. Категория – памятник природы. Статус – действующий.</w:t>
      </w:r>
    </w:p>
    <w:p>
      <w:pPr>
        <w:pStyle w:val="ListParagraph"/>
        <w:keepLines/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1.3. Цель создания памятника природы – охрана уникального комплекса меловой и петрофитно-степной растительности, находящегося в хорошем состоянии и являющегося местом обитания редких видов флоры и фауны Курской области, в том числе внесенных в Красную книгу Российской Федерации. 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2. Природные особенности и объекты особой охраны</w:t>
      </w:r>
    </w:p>
    <w:p>
      <w:pPr>
        <w:pStyle w:val="ListParagraph"/>
        <w:keepNext w:val="true"/>
        <w:spacing w:lineRule="auto" w:line="240" w:before="0" w:after="0"/>
        <w:ind w:left="708" w:right="-143" w:firstLine="72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keepNext w:val="true"/>
        <w:spacing w:lineRule="auto" w:line="240" w:before="0" w:after="0"/>
        <w:ind w:firstLine="708"/>
        <w:rPr/>
      </w:pPr>
      <w:r>
        <w:rPr>
          <w:sz w:val="28"/>
          <w:szCs w:val="28"/>
        </w:rPr>
        <w:t xml:space="preserve">2.1. Балка Лепешка </w:t>
      </w:r>
      <w:r>
        <w:rPr>
          <w:rFonts w:eastAsia="Calibri"/>
          <w:sz w:val="28"/>
          <w:szCs w:val="28"/>
        </w:rPr>
        <w:t xml:space="preserve">расположена в </w:t>
      </w:r>
      <w:r>
        <w:rPr>
          <w:sz w:val="28"/>
          <w:szCs w:val="28"/>
        </w:rPr>
        <w:t>Горшеченском районе</w:t>
      </w:r>
      <w:r>
        <w:rPr>
          <w:rFonts w:eastAsia="Calibri"/>
          <w:sz w:val="28"/>
          <w:szCs w:val="28"/>
        </w:rPr>
        <w:t xml:space="preserve"> Курской обл</w:t>
      </w:r>
      <w:r>
        <w:rPr>
          <w:rFonts w:eastAsia="Calibri"/>
          <w:color w:val="000000"/>
          <w:sz w:val="28"/>
          <w:szCs w:val="28"/>
        </w:rPr>
        <w:t xml:space="preserve">асти, </w:t>
      </w:r>
      <w:r>
        <w:rPr>
          <w:color w:val="000000"/>
          <w:sz w:val="28"/>
          <w:szCs w:val="28"/>
        </w:rPr>
        <w:t>к юго-востоку от села Богатырево.</w:t>
      </w:r>
    </w:p>
    <w:p>
      <w:pPr>
        <w:pStyle w:val="21"/>
        <w:keepNext w:val="true"/>
        <w:shd w:val="clear" w:color="auto" w:fill="auto"/>
        <w:tabs>
          <w:tab w:val="clear" w:pos="708"/>
          <w:tab w:val="left" w:pos="350" w:leader="none"/>
        </w:tabs>
        <w:spacing w:lineRule="auto" w:line="240" w:before="0" w:after="0"/>
        <w:ind w:firstLine="709"/>
        <w:rPr>
          <w:color w:val="000000"/>
        </w:rPr>
      </w:pPr>
      <w:r>
        <w:rPr>
          <w:rFonts w:cs="Times New Roman"/>
          <w:b w:val="false"/>
          <w:color w:val="000000" w:themeShade="bf"/>
          <w:sz w:val="28"/>
          <w:szCs w:val="28"/>
        </w:rPr>
        <w:t xml:space="preserve">Балка Лепешка – это короткая балка с вершинами на склоне водораздела р. Боровки и р. Быстрик.  </w:t>
      </w:r>
    </w:p>
    <w:p>
      <w:pPr>
        <w:pStyle w:val="21"/>
        <w:shd w:val="clear" w:color="auto" w:fill="auto"/>
        <w:tabs>
          <w:tab w:val="clear" w:pos="708"/>
          <w:tab w:val="left" w:pos="350" w:leader="none"/>
        </w:tabs>
        <w:spacing w:lineRule="auto" w:line="240" w:before="0" w:after="0"/>
        <w:ind w:firstLine="709"/>
        <w:rPr>
          <w:color w:val="000000"/>
        </w:rPr>
      </w:pPr>
      <w:r>
        <w:rPr>
          <w:rFonts w:cs="Times New Roman"/>
          <w:b w:val="false"/>
          <w:color w:val="000000" w:themeShade="bf"/>
          <w:sz w:val="28"/>
          <w:szCs w:val="28"/>
        </w:rPr>
        <w:t xml:space="preserve">На подошве балки находятся три останцовых возвышения, которые являются элементом реликтового рельефа со времен мезозоя. Абсолютные отметки высоты данной территории составляют от 160 м до 210 м. </w:t>
      </w:r>
    </w:p>
    <w:p>
      <w:pPr>
        <w:pStyle w:val="21"/>
        <w:shd w:val="clear" w:color="auto" w:fill="auto"/>
        <w:tabs>
          <w:tab w:val="clear" w:pos="708"/>
          <w:tab w:val="left" w:pos="350" w:leader="none"/>
        </w:tabs>
        <w:spacing w:lineRule="auto" w:line="240" w:before="0" w:after="0"/>
        <w:ind w:firstLine="709"/>
        <w:rPr>
          <w:color w:val="000000"/>
        </w:rPr>
      </w:pPr>
      <w:r>
        <w:rPr>
          <w:rFonts w:cs="Times New Roman"/>
          <w:b w:val="false"/>
          <w:color w:val="000000" w:themeShade="bf"/>
          <w:sz w:val="28"/>
          <w:szCs w:val="28"/>
        </w:rPr>
        <w:t xml:space="preserve">Наибольший интерес представляют участки крутых склонов с сильно смытыми перегнойно-карбонатными почвами и ксерофитной петрофитно-степной растительностью. </w:t>
      </w:r>
    </w:p>
    <w:p>
      <w:pPr>
        <w:pStyle w:val="Normal"/>
        <w:spacing w:before="0" w:after="0"/>
        <w:ind w:left="0" w:right="0" w:firstLine="709"/>
        <w:rPr/>
      </w:pPr>
      <w:r>
        <w:rPr>
          <w:color w:val="000000" w:themeShade="bf"/>
          <w:sz w:val="28"/>
          <w:szCs w:val="28"/>
          <w:lang w:eastAsia="ru-RU"/>
        </w:rPr>
        <w:t>2.2. </w:t>
      </w:r>
      <w:r>
        <w:rPr>
          <w:rFonts w:cs="Times New Roman"/>
          <w:color w:val="000000" w:themeShade="bf"/>
          <w:sz w:val="28"/>
          <w:szCs w:val="28"/>
          <w:lang w:val="ru-RU" w:eastAsia="ru-RU"/>
        </w:rPr>
        <w:t xml:space="preserve">К настоящему моменту на территории балки отмечено 188 видов сосудистых растений, из которых 19 видов внесены в </w:t>
      </w:r>
      <w:r>
        <w:rPr>
          <w:rFonts w:cs="Times New Roman"/>
          <w:color w:val="000000" w:themeShade="bf"/>
          <w:sz w:val="28"/>
          <w:szCs w:val="28"/>
          <w:lang w:eastAsia="ru-RU"/>
        </w:rPr>
        <w:t xml:space="preserve">Красную книгу Курской области (2017), </w:t>
      </w:r>
      <w:r>
        <w:rPr>
          <w:rFonts w:cs="Times New Roman"/>
          <w:color w:val="000000" w:themeShade="bf"/>
          <w:sz w:val="28"/>
          <w:szCs w:val="28"/>
          <w:lang w:val="ru-RU" w:eastAsia="ru-RU"/>
        </w:rPr>
        <w:t xml:space="preserve">в том числе 3 вида (Ковыль перистый, Ковыль </w:t>
      </w:r>
      <w:r>
        <w:rPr>
          <w:rFonts w:cs="Times New Roman"/>
          <w:color w:val="000000" w:themeShade="bf"/>
          <w:spacing w:val="0"/>
          <w:sz w:val="28"/>
          <w:szCs w:val="28"/>
          <w:lang w:val="ru-RU" w:eastAsia="ru-RU"/>
        </w:rPr>
        <w:t xml:space="preserve">красивейший, Норичник меловой) – в Красную книгу Российской Федерации </w:t>
      </w:r>
      <w:r>
        <w:rPr>
          <w:rFonts w:cs="Times New Roman"/>
          <w:color w:val="000000" w:themeShade="bf"/>
          <w:spacing w:val="0"/>
          <w:sz w:val="28"/>
          <w:szCs w:val="28"/>
          <w:lang w:eastAsia="ru-RU"/>
        </w:rPr>
        <w:t xml:space="preserve">(2008). </w:t>
      </w:r>
    </w:p>
    <w:p>
      <w:pPr>
        <w:pStyle w:val="Normal"/>
        <w:keepNext w:val="true"/>
        <w:spacing w:before="0" w:after="0"/>
        <w:ind w:left="0" w:right="0" w:firstLine="709"/>
        <w:jc w:val="both"/>
        <w:rPr>
          <w:color w:val="000000"/>
        </w:rPr>
      </w:pPr>
      <w:r>
        <w:rPr>
          <w:rFonts w:cs="Times New Roman"/>
          <w:color w:val="000000" w:themeShade="bf"/>
          <w:sz w:val="28"/>
          <w:szCs w:val="28"/>
        </w:rPr>
        <w:t xml:space="preserve">На территории балки Лепешка зарегистрировано 79 видов насекомых. Пять видов – Богомол обыкновенный, Шмель глинистый, Махаон, Шмель изменчивый, Шмель армянский – внесены в Красную книгу Курской области (2017), последние два вида занесены также в Красную книгу Российской Федерации. </w:t>
      </w:r>
    </w:p>
    <w:p>
      <w:pPr>
        <w:pStyle w:val="Normal"/>
        <w:keepNext w:val="true"/>
        <w:spacing w:before="0" w:after="0"/>
        <w:ind w:left="0" w:right="0" w:firstLine="709"/>
        <w:jc w:val="both"/>
        <w:rPr>
          <w:color w:val="000000"/>
        </w:rPr>
      </w:pPr>
      <w:r>
        <w:rPr>
          <w:rFonts w:cs="Times New Roman"/>
          <w:color w:val="000000" w:themeShade="bf"/>
          <w:sz w:val="28"/>
          <w:szCs w:val="28"/>
        </w:rPr>
        <w:t>Выявлено присутствие 55 видов позвоночных животных. Среди них отмечены 1 вид пресмыкающихся, 3 вида млекопитающих, 51 вид птиц. Один вид млекопитающих – Сурок степной (</w:t>
      </w:r>
      <w:r>
        <w:rPr>
          <w:rFonts w:cs="Times New Roman"/>
          <w:i/>
          <w:color w:val="000000" w:themeShade="bf"/>
          <w:sz w:val="28"/>
          <w:szCs w:val="28"/>
          <w:lang w:val="en-US"/>
        </w:rPr>
        <w:t>Marmota</w:t>
      </w:r>
      <w:r>
        <w:rPr>
          <w:rFonts w:cs="Times New Roman"/>
          <w:i/>
          <w:color w:val="000000" w:themeShade="bf"/>
          <w:sz w:val="28"/>
          <w:szCs w:val="28"/>
        </w:rPr>
        <w:t xml:space="preserve"> </w:t>
      </w:r>
      <w:r>
        <w:rPr>
          <w:rFonts w:cs="Times New Roman"/>
          <w:i/>
          <w:color w:val="000000" w:themeShade="bf"/>
          <w:sz w:val="28"/>
          <w:szCs w:val="28"/>
          <w:lang w:val="en-US"/>
        </w:rPr>
        <w:t>bobak</w:t>
      </w:r>
      <w:r>
        <w:rPr>
          <w:rFonts w:cs="Times New Roman"/>
          <w:color w:val="000000" w:themeShade="bf"/>
          <w:sz w:val="28"/>
          <w:szCs w:val="28"/>
        </w:rPr>
        <w:t xml:space="preserve">) – внесен в Красную книгу Курской области (2017). </w:t>
      </w:r>
    </w:p>
    <w:p>
      <w:pPr>
        <w:pStyle w:val="ListParagraph"/>
        <w:keepNext w:val="tru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2.3. Памятник природы имеет научное, учебное и эстетическое значение.</w:t>
      </w:r>
    </w:p>
    <w:p>
      <w:pPr>
        <w:pStyle w:val="Normal"/>
        <w:keepLines/>
        <w:spacing w:before="0" w:after="0"/>
        <w:ind w:left="0" w:right="0" w:firstLine="709"/>
        <w:jc w:val="both"/>
        <w:rPr/>
      </w:pPr>
      <w:r>
        <w:rPr>
          <w:rFonts w:cs="Times New Roman"/>
          <w:color w:val="000000"/>
          <w:sz w:val="28"/>
          <w:szCs w:val="28"/>
        </w:rPr>
        <w:t xml:space="preserve">Научное и учебное значение памятника природы заключается в том, что на его территории обитает комплекс редких степных и меловых видов растений. </w:t>
      </w:r>
      <w:r>
        <w:rPr>
          <w:rFonts w:cs="Times New Roman"/>
          <w:color w:val="000000"/>
          <w:sz w:val="28"/>
          <w:szCs w:val="28"/>
          <w:lang w:val="ru-RU" w:eastAsia="ru-RU"/>
        </w:rPr>
        <w:t xml:space="preserve">На территории урочища представлены растительные сообщества меловых обнажений, северная граница их массового распространения проходит значительно южнее Курской области. </w:t>
      </w:r>
      <w:r>
        <w:rPr>
          <w:rFonts w:cs="Times New Roman"/>
          <w:color w:val="000000"/>
          <w:sz w:val="28"/>
          <w:szCs w:val="28"/>
        </w:rPr>
        <w:t xml:space="preserve">Особый интерес представляет </w:t>
      </w:r>
      <w:r>
        <w:rPr>
          <w:rFonts w:cs="Times New Roman"/>
          <w:color w:val="000000"/>
          <w:sz w:val="28"/>
          <w:szCs w:val="28"/>
          <w:lang w:val="ru-RU" w:eastAsia="ru-RU"/>
        </w:rPr>
        <w:t>популяция Норичника мелового (</w:t>
      </w:r>
      <w:r>
        <w:rPr>
          <w:rFonts w:cs="Times New Roman"/>
          <w:i/>
          <w:color w:val="000000"/>
          <w:sz w:val="28"/>
          <w:szCs w:val="28"/>
          <w:lang w:val="en-US" w:eastAsia="ru-RU"/>
        </w:rPr>
        <w:t>Scrophularia</w:t>
      </w:r>
      <w:r>
        <w:rPr>
          <w:rFonts w:cs="Times New Roman"/>
          <w:i/>
          <w:color w:val="000000"/>
          <w:sz w:val="28"/>
          <w:szCs w:val="28"/>
          <w:lang w:val="ru-RU" w:eastAsia="ru-RU"/>
        </w:rPr>
        <w:t xml:space="preserve"> </w:t>
      </w:r>
      <w:r>
        <w:rPr>
          <w:rFonts w:cs="Times New Roman"/>
          <w:i/>
          <w:color w:val="000000"/>
          <w:sz w:val="28"/>
          <w:szCs w:val="28"/>
          <w:lang w:val="en-US" w:eastAsia="ru-RU"/>
        </w:rPr>
        <w:t>cretacea</w:t>
      </w:r>
      <w:r>
        <w:rPr>
          <w:rFonts w:cs="Times New Roman"/>
          <w:color w:val="000000"/>
          <w:sz w:val="28"/>
          <w:szCs w:val="28"/>
          <w:lang w:val="ru-RU" w:eastAsia="ru-RU"/>
        </w:rPr>
        <w:t>), являющаяся единственной на территории Курской области и оторванная от основного ареала на 80</w:t>
      </w:r>
      <w:r>
        <w:rPr>
          <w:rFonts w:cs="Times New Roman"/>
          <w:color w:val="000000"/>
          <w:sz w:val="28"/>
          <w:szCs w:val="28"/>
        </w:rPr>
        <w:t>–</w:t>
      </w:r>
      <w:r>
        <w:rPr>
          <w:rFonts w:cs="Times New Roman"/>
          <w:color w:val="000000"/>
          <w:sz w:val="28"/>
          <w:szCs w:val="28"/>
          <w:lang w:val="ru-RU" w:eastAsia="ru-RU"/>
        </w:rPr>
        <w:t xml:space="preserve">100 км. Все это позволяет говорить о балке Лепешка как об «анклаве» меловой флоры и растительности, одном из центров концентрации редких и охраняемых степных и меловых видов растений в Курской области, нуждающемся в изучении и охране.  </w:t>
      </w:r>
    </w:p>
    <w:p>
      <w:pPr>
        <w:pStyle w:val="ListParagraph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 xml:space="preserve">Эстетическое значение памятника природы заключается в том, что он является фрагментом хорошо сохранившегося участка меловой и петрофитно-степной растительности и может стать местом для проведения экологических экскурсий.  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Памятник войдет в единую сеть особо охраняемых степных природных территорий, создающихся в рамках международного проекта ПРООН/ГЭФ/Минприроды России «Совершенствование системы и механизмов управления ООПТ в степном биоме России».</w:t>
      </w:r>
    </w:p>
    <w:p>
      <w:pPr>
        <w:pStyle w:val="Normal"/>
        <w:spacing w:before="0" w:after="0"/>
        <w:ind w:left="0" w:right="0" w:firstLine="709"/>
        <w:rPr>
          <w:b/>
          <w:b/>
          <w:color w:val="2E74B5" w:themeColor="accent1" w:themeShade="bf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</w:r>
    </w:p>
    <w:p>
      <w:pPr>
        <w:pStyle w:val="Normal"/>
        <w:ind w:hanging="0"/>
        <w:jc w:val="center"/>
        <w:rPr>
          <w:color w:val="2E74B5" w:themeColor="accent1" w:themeShade="bf"/>
        </w:rPr>
      </w:pPr>
      <w:r>
        <w:rPr>
          <w:b/>
          <w:color w:val="000000" w:themeShade="bf"/>
          <w:sz w:val="28"/>
          <w:szCs w:val="28"/>
        </w:rPr>
        <w:t>3. Месторасположение</w:t>
      </w:r>
    </w:p>
    <w:p>
      <w:pPr>
        <w:pStyle w:val="Normal"/>
        <w:spacing w:before="0" w:after="0"/>
        <w:ind w:left="0" w:right="0" w:firstLine="709"/>
        <w:jc w:val="center"/>
        <w:rPr>
          <w:b/>
          <w:b/>
          <w:color w:val="000000" w:themeShade="bf"/>
          <w:sz w:val="28"/>
          <w:szCs w:val="28"/>
        </w:rPr>
      </w:pPr>
      <w:r>
        <w:rPr>
          <w:b/>
          <w:color w:val="000000" w:themeShade="bf"/>
          <w:sz w:val="28"/>
          <w:szCs w:val="28"/>
        </w:rPr>
      </w:r>
    </w:p>
    <w:p>
      <w:pPr>
        <w:pStyle w:val="Normal"/>
        <w:spacing w:before="0" w:after="0"/>
        <w:ind w:left="0" w:right="0" w:firstLine="709"/>
        <w:rPr>
          <w:color w:val="000000"/>
        </w:rPr>
      </w:pPr>
      <w:r>
        <w:rPr>
          <w:color w:val="000000" w:themeShade="bf"/>
          <w:sz w:val="28"/>
          <w:szCs w:val="28"/>
        </w:rPr>
        <w:t>3.1. Балка Лепешка находится на территории Богатыревского сельсовета Горшеченского района Курской области.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 w:themeShade="bf"/>
          <w:spacing w:val="6"/>
          <w:sz w:val="28"/>
          <w:szCs w:val="28"/>
        </w:rPr>
        <w:t>3.2. Памятник природы расположен</w:t>
      </w:r>
      <w:r>
        <w:rPr>
          <w:rFonts w:eastAsia="Calibri" w:cs="Times New Roman" w:ascii="Times New Roman" w:hAnsi="Times New Roman"/>
          <w:color w:val="000000" w:themeShade="bf"/>
          <w:spacing w:val="6"/>
          <w:sz w:val="28"/>
          <w:szCs w:val="28"/>
        </w:rPr>
        <w:t>: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- в </w:t>
      </w:r>
      <w:r>
        <w:rPr>
          <w:rFonts w:cs="Times New Roman" w:ascii="Times New Roman" w:hAnsi="Times New Roman"/>
          <w:color w:val="000000"/>
          <w:sz w:val="28"/>
          <w:szCs w:val="28"/>
        </w:rPr>
        <w:t>16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>.8 км на запад-северо-</w:t>
      </w:r>
      <w:r>
        <w:rPr>
          <w:rFonts w:cs="Times New Roman" w:ascii="Times New Roman" w:hAnsi="Times New Roman"/>
          <w:color w:val="000000"/>
          <w:sz w:val="28"/>
          <w:szCs w:val="28"/>
        </w:rPr>
        <w:t>запад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 от районного центра </w:t>
      </w:r>
      <w:r>
        <w:rPr>
          <w:rFonts w:cs="Times New Roman" w:ascii="Times New Roman" w:hAnsi="Times New Roman"/>
          <w:color w:val="000000"/>
          <w:sz w:val="28"/>
          <w:szCs w:val="28"/>
        </w:rPr>
        <w:t>Горшечное</w:t>
      </w:r>
      <w:r>
        <w:rPr>
          <w:rFonts w:eastAsia="Calibri" w:cs="Times New Roman" w:ascii="Times New Roman" w:hAnsi="Times New Roman"/>
          <w:color w:val="000000"/>
          <w:sz w:val="28"/>
          <w:szCs w:val="28"/>
        </w:rPr>
        <w:t>;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</w:rPr>
        <w:t>- в 6.6 км на восток от участка Центрально-Черноземного заповедника «Баркаловка»;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eastAsia="Calibri" w:cs="Times New Roman" w:ascii="Times New Roman" w:hAnsi="Times New Roman"/>
          <w:color w:val="000000"/>
          <w:sz w:val="28"/>
          <w:szCs w:val="28"/>
        </w:rPr>
        <w:t>- в 2.6 км на северо-северо-восток от населенного пункта Боровка;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eastAsia="Calibri" w:cs="Times New Roman" w:ascii="Times New Roman" w:hAnsi="Times New Roman"/>
          <w:color w:val="000000" w:themeShade="bf"/>
          <w:spacing w:val="6"/>
          <w:sz w:val="28"/>
          <w:szCs w:val="28"/>
        </w:rPr>
        <w:t>- в 5.9 км на юго-запад от населенного пункта Быково.</w:t>
      </w:r>
    </w:p>
    <w:p>
      <w:pPr>
        <w:pStyle w:val="14"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eastAsia="Calibri" w:cs="Times New Roman" w:ascii="Times New Roman" w:hAnsi="Times New Roman"/>
          <w:color w:val="000000" w:themeShade="bf"/>
          <w:sz w:val="28"/>
          <w:szCs w:val="28"/>
        </w:rPr>
        <w:t>По конфигурации состоит из единого участка. Северо-западная граница территории проходит по грунтовой дороге от подножья склона на водораздел; северо-восточная – вдоль леса; южная граница проходит по кромке пашни; западная граница – по лощине прибалочного склона, поперек днища балки.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561"/>
        <w:jc w:val="left"/>
        <w:rPr>
          <w:rFonts w:ascii="Times New Roman" w:hAnsi="Times New Roman" w:eastAsia="Calibri" w:cs="Times New Roman"/>
          <w:color w:val="2E74B5" w:themeColor="accent1" w:themeShade="bf"/>
          <w:sz w:val="28"/>
          <w:szCs w:val="28"/>
        </w:rPr>
      </w:pPr>
      <w:r>
        <w:rPr>
          <w:rFonts w:eastAsia="Calibri" w:cs="Times New Roman" w:ascii="Times New Roman" w:hAnsi="Times New Roman"/>
          <w:color w:val="2E74B5" w:themeColor="accent1" w:themeShade="bf"/>
          <w:sz w:val="28"/>
          <w:szCs w:val="28"/>
        </w:rPr>
      </w:r>
    </w:p>
    <w:p>
      <w:pPr>
        <w:pStyle w:val="ListParagraph"/>
        <w:keepNext w:val="true"/>
        <w:spacing w:lineRule="auto" w:line="240" w:before="0" w:after="0"/>
        <w:ind w:left="0" w:right="-1" w:firstLine="720"/>
        <w:contextualSpacing/>
        <w:jc w:val="center"/>
        <w:rPr>
          <w:color w:val="2E74B5" w:themeColor="accent1" w:themeShade="bf"/>
        </w:rPr>
      </w:pPr>
      <w:r>
        <w:rPr>
          <w:rFonts w:cs="Times New Roman" w:ascii="Times New Roman" w:hAnsi="Times New Roman"/>
          <w:b/>
          <w:color w:val="000000" w:themeShade="bf"/>
          <w:sz w:val="28"/>
          <w:szCs w:val="28"/>
        </w:rPr>
        <w:t>4. Данные о площади и об особенностях земельных отношений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561"/>
        <w:jc w:val="left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2E74B5" w:themeColor="accent1" w:themeShade="bf"/>
          <w:sz w:val="28"/>
          <w:szCs w:val="28"/>
        </w:rPr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709"/>
        <w:jc w:val="left"/>
        <w:rPr>
          <w:color w:val="000000"/>
          <w:spacing w:val="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4.1. Площадь памятника природы составляет 34,2441 га.</w:t>
      </w:r>
    </w:p>
    <w:p>
      <w:pPr>
        <w:pStyle w:val="3"/>
        <w:keepNext w:val="true"/>
        <w:shd w:val="clear" w:color="auto" w:fill="auto"/>
        <w:spacing w:lineRule="auto" w:line="240" w:before="0" w:after="0"/>
        <w:ind w:firstLine="709"/>
        <w:rPr>
          <w:color w:val="000000"/>
          <w:spacing w:val="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4.2. Памятник природы «Балка Лепешка» находится в кадастровых кварталах 46:04:020305 и 46:04:020610.</w:t>
      </w:r>
    </w:p>
    <w:p>
      <w:pPr>
        <w:pStyle w:val="3"/>
        <w:shd w:val="clear" w:color="auto" w:fill="auto"/>
        <w:spacing w:lineRule="auto" w:line="240" w:before="0" w:after="0"/>
        <w:ind w:firstLine="709"/>
        <w:rPr>
          <w:color w:val="000000"/>
          <w:spacing w:val="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В кадастровом квартале 46:04:020610 в границы памятника природы частично входят:</w:t>
      </w:r>
    </w:p>
    <w:p>
      <w:pPr>
        <w:pStyle w:val="3"/>
        <w:shd w:val="clear" w:color="auto" w:fill="auto"/>
        <w:spacing w:lineRule="auto" w:line="240" w:before="0" w:after="0"/>
        <w:ind w:firstLine="709"/>
        <w:rPr>
          <w:color w:val="000000"/>
          <w:spacing w:val="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земельный участок с кадастровым номером 46:04:020610:18 площадью 1184878 кв. м, разрешенное использование: для сельскохозяйственного производства; категория земель: земли сельскохозяйственного назначения; сведения о регистрации прав отсутствуют (выписка из ЕГРП от 26.02.2018 № 46/001/009/2018-17192).</w:t>
      </w:r>
    </w:p>
    <w:p>
      <w:pPr>
        <w:pStyle w:val="3"/>
        <w:shd w:val="clear" w:color="auto" w:fill="auto"/>
        <w:spacing w:lineRule="auto" w:line="240" w:before="0" w:after="0"/>
        <w:ind w:firstLine="709"/>
        <w:rPr>
          <w:color w:val="000000"/>
          <w:spacing w:val="0"/>
        </w:rPr>
      </w:pPr>
      <w:r>
        <w:rPr>
          <w:rFonts w:cs="Times New Roman" w:ascii="Times New Roman" w:hAnsi="Times New Roman"/>
          <w:color w:val="000000" w:themeShade="bf"/>
          <w:spacing w:val="0"/>
          <w:sz w:val="28"/>
          <w:szCs w:val="28"/>
        </w:rPr>
        <w:t>земельный участок с кадастровым номером 46:04:020000:5 площадью 30783100 кв. м, принадлежащий ООО «Горшечное-АГРО-Инвест», разрешенное использование: для сельскохозяйственного использования; категория земель: земли сельскохозяйственного назначения (по информации Администрации Горшеченского района Курской области (исх. от 02.04.2018 № 01-27/1092)).</w:t>
      </w:r>
    </w:p>
    <w:p>
      <w:pPr>
        <w:pStyle w:val="Normal"/>
        <w:spacing w:before="0" w:after="57"/>
        <w:ind w:firstLine="709"/>
        <w:rPr/>
      </w:pPr>
      <w:r>
        <w:rPr>
          <w:color w:val="000000" w:themeShade="bf"/>
          <w:spacing w:val="0"/>
          <w:sz w:val="28"/>
          <w:szCs w:val="28"/>
        </w:rPr>
        <w:t xml:space="preserve">4.3. Схема границ ООПТ с кадастровым делением, земельными </w:t>
      </w:r>
      <w: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56515</wp:posOffset>
            </wp:positionH>
            <wp:positionV relativeFrom="paragraph">
              <wp:posOffset>521970</wp:posOffset>
            </wp:positionV>
            <wp:extent cx="5706110" cy="27412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Shade="bf"/>
          <w:spacing w:val="0"/>
          <w:sz w:val="28"/>
          <w:szCs w:val="28"/>
        </w:rPr>
        <w:t>у</w:t>
      </w:r>
      <w:r>
        <w:rPr>
          <w:color w:val="000000" w:themeShade="bf"/>
          <w:spacing w:val="0"/>
          <w:sz w:val="28"/>
          <w:szCs w:val="28"/>
        </w:rPr>
        <w:t>частками</w:t>
      </w:r>
    </w:p>
    <w:p>
      <w:pPr>
        <w:pStyle w:val="Normal"/>
        <w:ind w:hanging="0"/>
        <w:jc w:val="center"/>
        <w:rPr>
          <w:b/>
          <w:b/>
          <w:color w:val="000000" w:themeShade="bf"/>
          <w:sz w:val="28"/>
          <w:szCs w:val="28"/>
        </w:rPr>
      </w:pPr>
      <w:r>
        <w:rPr>
          <w:b/>
          <w:color w:val="000000" w:themeShade="bf"/>
          <w:sz w:val="28"/>
          <w:szCs w:val="28"/>
        </w:rPr>
      </w:r>
    </w:p>
    <w:p>
      <w:pPr>
        <w:pStyle w:val="Normal"/>
        <w:ind w:hanging="0"/>
        <w:jc w:val="center"/>
        <w:rPr/>
      </w:pPr>
      <w:r>
        <w:rPr>
          <w:b/>
          <w:color w:val="000000" w:themeShade="bf"/>
          <w:sz w:val="28"/>
          <w:szCs w:val="28"/>
        </w:rPr>
        <w:t>5. Режим особой охраны и порядок использования ООПТ</w:t>
      </w:r>
    </w:p>
    <w:p>
      <w:pPr>
        <w:pStyle w:val="Normal"/>
        <w:ind w:hanging="0"/>
        <w:jc w:val="center"/>
        <w:rPr>
          <w:color w:themeColor="accent1" w:themeShade="bf"/>
          <w:sz w:val="28"/>
          <w:szCs w:val="28"/>
        </w:rPr>
      </w:pPr>
      <w:r>
        <w:rPr>
          <w:color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color w:val="000000"/>
          <w:sz w:val="28"/>
          <w:szCs w:val="28"/>
        </w:rPr>
      </w:pPr>
      <w:r>
        <w:rPr>
          <w:color w:val="000000" w:themeShade="bf"/>
          <w:sz w:val="28"/>
          <w:szCs w:val="28"/>
        </w:rPr>
        <w:t>5.1. На особо охраняемой природной территории запрещается всякая деятельность, влекущая за собой нарушение сохранности памятника природы, в том числе: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предоставление земельных участков для осуществления хозяйственной и иной деятельности;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распашка территории</w:t>
      </w:r>
      <w:r>
        <w:rPr>
          <w:rFonts w:cs="Times New Roman" w:ascii="Times New Roman" w:hAnsi="Times New Roman"/>
          <w:color w:val="000000"/>
          <w:spacing w:val="-10"/>
          <w:sz w:val="28"/>
          <w:szCs w:val="28"/>
        </w:rPr>
        <w:t xml:space="preserve"> (за исключением мер противопожарного обустройства территории)</w:t>
      </w:r>
      <w:r>
        <w:rPr>
          <w:rFonts w:cs="Times New Roman" w:ascii="Times New Roman" w:hAnsi="Times New Roman"/>
          <w:color w:val="000000"/>
          <w:sz w:val="28"/>
          <w:szCs w:val="28"/>
        </w:rPr>
        <w:t>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лесопосадки на степных склонах;</w:t>
      </w:r>
    </w:p>
    <w:p>
      <w:pPr>
        <w:pStyle w:val="ListParagraph"/>
        <w:keepLines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 xml:space="preserve">- </w:t>
      </w:r>
      <w:r>
        <w:rPr>
          <w:rFonts w:cs="Times New Roman" w:ascii="Times New Roman" w:hAnsi="Times New Roman"/>
          <w:color w:val="000000" w:themeShade="bf"/>
          <w:spacing w:val="8"/>
          <w:sz w:val="28"/>
          <w:szCs w:val="28"/>
        </w:rPr>
        <w:t>строительство магистральных дорог, трубопроводов, линий электропередачи и других коммуникаций, а также строительство и эксплуатация хозяйственных и жилых объектов без получения положительного заключения государственной экологической экспертизы;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движение и стоянка механических транспортных средств, не связанных с функционированием памятника природы;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- мойка транспортных средств;</w:t>
      </w:r>
    </w:p>
    <w:p>
      <w:pPr>
        <w:pStyle w:val="ListParagraph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замусоривание  территории;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устройство лагерей скота, летних доек, загонов и иных форм долговременного содержания скота;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разбивка туристических стоянок;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разведение костров;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проведение всех видов рубок, за исключением санитарных;</w:t>
      </w:r>
    </w:p>
    <w:p>
      <w:pPr>
        <w:pStyle w:val="ListParagraph"/>
        <w:keepLines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изменение видового состава растительности, включая интродукцию видов и выкапывание видов местной флоры;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- сбор цветов, листьев, ягод и других частей дикорастущих растений в любых целях, за исключением научных исследований;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</w:rPr>
      </w:pPr>
      <w:r>
        <w:rPr>
          <w:rFonts w:cs="Times New Roman" w:ascii="Times New Roman" w:hAnsi="Times New Roman"/>
          <w:color w:val="000000" w:themeShade="bf"/>
          <w:sz w:val="28"/>
          <w:szCs w:val="28"/>
        </w:rPr>
        <w:t>- нарушение и уничтожение почвенно-растительного покрова;</w:t>
      </w:r>
    </w:p>
    <w:p>
      <w:pPr>
        <w:pStyle w:val="ListParagraph"/>
        <w:widowControl w:val="false"/>
        <w:spacing w:lineRule="auto" w:line="240" w:before="0" w:after="0"/>
        <w:ind w:left="0" w:right="0" w:firstLine="709"/>
        <w:contextualSpacing/>
        <w:jc w:val="both"/>
        <w:rPr>
          <w:color w:val="000000"/>
          <w:spacing w:val="-4"/>
        </w:rPr>
      </w:pPr>
      <w:bookmarkStart w:id="0" w:name="__DdeLink__292_2134591466"/>
      <w:r>
        <w:rPr>
          <w:rFonts w:cs="Times New Roman" w:ascii="Times New Roman" w:hAnsi="Times New Roman"/>
          <w:color w:val="000000" w:themeShade="bf"/>
          <w:spacing w:val="-4"/>
          <w:sz w:val="28"/>
          <w:szCs w:val="28"/>
        </w:rPr>
        <w:t>- уничтожение и повреждение информационных и предупредительных аншлагов.</w:t>
      </w:r>
      <w:bookmarkEnd w:id="0"/>
    </w:p>
    <w:p>
      <w:pPr>
        <w:pStyle w:val="ConsPlusNormal"/>
        <w:ind w:firstLine="709"/>
        <w:jc w:val="both"/>
        <w:rPr>
          <w:color w:val="2E74B5" w:themeColor="accent1" w:themeShade="bf"/>
        </w:rPr>
      </w:pPr>
      <w:r>
        <w:rPr>
          <w:color w:val="000000" w:themeShade="bf"/>
        </w:rPr>
        <w:t>5.2. Допустимые виды использования территории:</w:t>
      </w:r>
    </w:p>
    <w:p>
      <w:pPr>
        <w:pStyle w:val="ConsPlusNormal"/>
        <w:ind w:firstLine="709"/>
        <w:jc w:val="both"/>
        <w:rPr>
          <w:color w:val="000000"/>
        </w:rPr>
      </w:pPr>
      <w:r>
        <w:rPr>
          <w:color w:val="000000" w:themeShade="bf"/>
        </w:rPr>
        <w:t>- проведение противопожарных,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>
      <w:pPr>
        <w:pStyle w:val="ConsPlusNormal"/>
        <w:ind w:firstLine="709"/>
        <w:jc w:val="both"/>
        <w:rPr>
          <w:color w:val="2E74B5" w:themeColor="accent1" w:themeShade="bf"/>
          <w:spacing w:val="-10"/>
        </w:rPr>
      </w:pPr>
      <w:r>
        <w:rPr>
          <w:color w:val="000000" w:themeShade="bf"/>
        </w:rPr>
        <w:t xml:space="preserve">- </w:t>
      </w:r>
      <w:r>
        <w:rPr>
          <w:color w:val="000000" w:themeShade="bf"/>
          <w:spacing w:val="-10"/>
        </w:rPr>
        <w:t>проведение научных исследований, в том числе в целях экологического мониторинга;</w:t>
      </w:r>
    </w:p>
    <w:p>
      <w:pPr>
        <w:pStyle w:val="ConsPlusNormal"/>
        <w:ind w:firstLine="709"/>
        <w:jc w:val="both"/>
        <w:rPr/>
      </w:pPr>
      <w:r>
        <w:rPr>
          <w:color w:val="000000" w:themeShade="bf"/>
        </w:rPr>
        <w:t>- организация эколого-просветительских мероприятий (проведение учебно-познавательных экскурсий, организация и обустройство учебных и экскурсионных экологических  троп).</w:t>
      </w:r>
    </w:p>
    <w:p>
      <w:pPr>
        <w:pStyle w:val="ConsPlusNormal"/>
        <w:ind w:firstLine="709"/>
        <w:jc w:val="both"/>
        <w:rPr/>
      </w:pPr>
      <w:r>
        <w:rPr>
          <w:color w:val="000000" w:themeShade="bf"/>
        </w:rPr>
        <w:t>Разрешается выпас КРС и лошадей в период с 1 мая по 30 октября при соблюдении нормы пастбищной нагрузки: не более 100 условных голов КРС единовременно, в течение не более 15 дней непрерывно, при перерывах между стравливаниями не менее 90 дней.</w:t>
      </w:r>
    </w:p>
    <w:p>
      <w:pPr>
        <w:pStyle w:val="Normal"/>
        <w:shd w:val="clear" w:color="auto" w:fill="FFFFFF"/>
        <w:ind w:right="-1" w:firstLine="709"/>
        <w:rPr>
          <w:color w:val="000000"/>
        </w:rPr>
      </w:pPr>
      <w:r>
        <w:rPr>
          <w:color w:val="000000" w:themeShade="bf"/>
          <w:sz w:val="28"/>
          <w:szCs w:val="28"/>
        </w:rPr>
        <w:t>5.3. 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>
      <w:pPr>
        <w:pStyle w:val="Normal"/>
        <w:shd w:val="clear" w:color="auto" w:fill="FFFFFF"/>
        <w:ind w:right="-1" w:firstLine="709"/>
        <w:rPr/>
      </w:pPr>
      <w:r>
        <w:rPr>
          <w:color w:val="000000" w:themeShade="bf"/>
          <w:sz w:val="28"/>
          <w:szCs w:val="28"/>
        </w:rPr>
        <w:t xml:space="preserve">5.4. Границы памятника природы обозначаются на местности предупредительными и информационными аншлагами, учитываются при разработке всех видов документации, обосновывающей хозяйственную и иную деятельность, затрагивающую эти территории. </w:t>
      </w:r>
    </w:p>
    <w:p>
      <w:pPr>
        <w:pStyle w:val="NormalWeb"/>
        <w:keepNext w:val="true"/>
        <w:spacing w:before="0" w:after="0"/>
        <w:ind w:firstLine="709"/>
        <w:jc w:val="both"/>
        <w:rPr>
          <w:color w:val="2E74B5" w:themeColor="accent1" w:themeShade="bf"/>
        </w:rPr>
      </w:pPr>
      <w:r>
        <w:rPr>
          <w:color w:val="000000" w:themeShade="bf"/>
          <w:sz w:val="28"/>
          <w:szCs w:val="28"/>
        </w:rPr>
        <w:t>5.5. Государственное управление и государственный надзор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 Курской области» в соответствии с законодательством Российской Федерации и Курской области.</w:t>
      </w:r>
    </w:p>
    <w:p>
      <w:pPr>
        <w:pStyle w:val="Normal"/>
        <w:ind w:left="0" w:right="0" w:hanging="0"/>
        <w:rPr>
          <w:color w:val="000000" w:themeShade="bf"/>
          <w:sz w:val="28"/>
          <w:szCs w:val="28"/>
        </w:rPr>
      </w:pPr>
      <w:r>
        <w:rPr>
          <w:color w:val="000000" w:themeShade="bf"/>
          <w:sz w:val="28"/>
          <w:szCs w:val="28"/>
        </w:rPr>
      </w:r>
    </w:p>
    <w:p>
      <w:pPr>
        <w:pStyle w:val="NormalWeb"/>
        <w:keepNext w:val="true"/>
        <w:spacing w:before="0" w:after="0"/>
        <w:ind w:left="0" w:right="0" w:hanging="0"/>
        <w:jc w:val="center"/>
        <w:rPr>
          <w:color w:val="2E74B5" w:themeColor="accent1" w:themeShade="bf"/>
        </w:rPr>
      </w:pPr>
      <w:r>
        <w:rPr>
          <w:b/>
          <w:color w:val="000000" w:themeShade="bf"/>
          <w:sz w:val="28"/>
          <w:szCs w:val="28"/>
          <w:lang w:eastAsia="en-US"/>
        </w:rPr>
        <w:t>6. Карта-схема расположения ООПТ</w:t>
      </w:r>
    </w:p>
    <w:p>
      <w:pPr>
        <w:pStyle w:val="Normal"/>
        <w:ind w:hanging="0"/>
        <w:jc w:val="center"/>
        <w:rPr>
          <w:b/>
          <w:b/>
          <w:color w:val="2E74B5" w:themeColor="accent1" w:themeShade="bf"/>
          <w:sz w:val="28"/>
          <w:szCs w:val="28"/>
          <w:lang w:eastAsia="en-US"/>
        </w:rPr>
      </w:pPr>
      <w:r>
        <w:rPr>
          <w:b/>
          <w:color w:val="2E74B5" w:themeColor="accent1" w:themeShade="bf"/>
          <w:sz w:val="28"/>
          <w:szCs w:val="28"/>
          <w:lang w:eastAsia="en-US"/>
        </w:rPr>
      </w:r>
    </w:p>
    <w:p>
      <w:pPr>
        <w:pStyle w:val="Normal"/>
        <w:ind w:hanging="0"/>
        <w:jc w:val="center"/>
        <w:rPr/>
      </w:pPr>
      <w:r>
        <w:rPr/>
        <w:drawing>
          <wp:inline distT="0" distB="0" distL="0" distR="0">
            <wp:extent cx="5743575" cy="343979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5" t="-24" r="-1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color w:val="2E74B5" w:themeColor="accent1" w:themeShade="bf"/>
          <w:sz w:val="28"/>
          <w:szCs w:val="28"/>
          <w:lang w:eastAsia="en-US"/>
        </w:rPr>
      </w:pPr>
      <w:r>
        <w:rPr>
          <w:b/>
          <w:color w:val="2E74B5" w:themeColor="accent1" w:themeShade="bf"/>
          <w:sz w:val="28"/>
          <w:szCs w:val="28"/>
          <w:lang w:eastAsia="en-US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firstLine="709"/>
        <w:jc w:val="center"/>
        <w:rPr>
          <w:rFonts w:eastAsia="MS Mincho"/>
          <w:b/>
          <w:b/>
          <w:color w:val="2E74B5" w:themeColor="accent1" w:themeShade="bf"/>
          <w:sz w:val="28"/>
          <w:szCs w:val="28"/>
        </w:rPr>
      </w:pPr>
      <w:r>
        <w:rPr>
          <w:rFonts w:eastAsia="MS Mincho"/>
          <w:b/>
          <w:color w:val="2E74B5" w:themeColor="accent1" w:themeShade="bf"/>
          <w:sz w:val="28"/>
          <w:szCs w:val="28"/>
        </w:rPr>
      </w:r>
    </w:p>
    <w:p>
      <w:pPr>
        <w:pStyle w:val="Normal"/>
        <w:snapToGrid w:val="false"/>
        <w:ind w:left="0" w:right="0" w:hanging="0"/>
        <w:jc w:val="center"/>
        <w:rPr>
          <w:color w:val="000000"/>
        </w:rPr>
      </w:pPr>
      <w:r>
        <w:rPr>
          <w:rFonts w:eastAsia="MS Mincho"/>
          <w:b/>
          <w:color w:val="000000" w:themeShade="bf"/>
          <w:sz w:val="28"/>
          <w:szCs w:val="28"/>
        </w:rPr>
        <w:t>7. Фотоматериалы, иллюстрирующие состояние территории,</w:t>
      </w:r>
    </w:p>
    <w:p>
      <w:pPr>
        <w:pStyle w:val="Normal"/>
        <w:snapToGrid w:val="false"/>
        <w:ind w:firstLine="709"/>
        <w:jc w:val="center"/>
        <w:rPr>
          <w:color w:val="000000"/>
        </w:rPr>
      </w:pPr>
      <w:r>
        <w:rPr>
          <w:rFonts w:eastAsia="MS Mincho"/>
          <w:b/>
          <w:color w:val="000000" w:themeShade="bf"/>
          <w:sz w:val="28"/>
          <w:szCs w:val="28"/>
        </w:rPr>
        <w:t>ее наиболее ценных участков и объектов</w:t>
      </w:r>
    </w:p>
    <w:p>
      <w:pPr>
        <w:pStyle w:val="Normal"/>
        <w:snapToGrid w:val="false"/>
        <w:ind w:firstLine="709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  <w:highlight w:val="yellow"/>
        </w:rPr>
      </w:pPr>
      <w:r>
        <w:rPr>
          <w:rFonts w:cs="Times New Roman"/>
          <w:b/>
          <w:i/>
          <w:sz w:val="28"/>
          <w:szCs w:val="28"/>
          <w:highlight w:val="yellow"/>
        </w:rPr>
      </w:r>
    </w:p>
    <w:p>
      <w:pPr>
        <w:pStyle w:val="Normal"/>
        <w:keepNext w:val="true"/>
        <w:ind w:left="0" w:right="0" w:hanging="0"/>
        <w:jc w:val="center"/>
        <w:rPr/>
      </w:pPr>
      <w:r>
        <w:rPr/>
        <w:drawing>
          <wp:inline distT="0" distB="0" distL="0" distR="0">
            <wp:extent cx="5700395" cy="368998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11769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rFonts w:eastAsia="MS Mincho" w:cs="Times New Roman"/>
          <w:color w:val="000000" w:themeShade="bf"/>
          <w:sz w:val="28"/>
          <w:szCs w:val="28"/>
        </w:rPr>
        <w:t>Фото 1. Общий вид балки Лепешка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  <w:sz w:val="28"/>
          <w:szCs w:val="28"/>
        </w:rPr>
      </w:pPr>
      <w:r>
        <w:rPr>
          <w:rFonts w:eastAsia="MS Mincho" w:cs="Times New Roman"/>
          <w:color w:themeColor="accent1" w:themeShade="bf"/>
          <w:sz w:val="28"/>
          <w:szCs w:val="28"/>
        </w:rPr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  <w:drawing>
          <wp:inline distT="0" distB="0" distL="0" distR="0">
            <wp:extent cx="5692140" cy="382587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4" t="-45" r="-24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rFonts w:eastAsia="MS Mincho" w:cs="Times New Roman"/>
          <w:color w:val="000000" w:themeShade="bf"/>
          <w:sz w:val="28"/>
          <w:szCs w:val="28"/>
        </w:rPr>
        <w:t>Фото 2. Песчаные аллювиальные отложения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</w:rPr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3733800" cy="4766310"/>
                <wp:effectExtent l="0" t="0" r="0" b="0"/>
                <wp:docPr id="5" name="Picture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"/>
                        <pic:cNvPicPr/>
                      </pic:nvPicPr>
                      <pic:blipFill>
                        <a:blip r:embed="rId6"/>
                        <a:srcRect l="-18" t="-14" r="-18" b="-14"/>
                        <a:stretch/>
                      </pic:blipFill>
                      <pic:spPr>
                        <a:xfrm>
                          <a:off x="0" y="0"/>
                          <a:ext cx="3733200" cy="476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ctr" dir="18908284" dist="105642" rotWithShape="0">
                            <a:srgbClr val="808080"/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9" stroked="f" style="position:absolute;margin-left:0pt;margin-top:-375.3pt;width:293.9pt;height:375.2pt;mso-position-vertical:top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rFonts w:eastAsia="MS Mincho" w:cs="Times New Roman"/>
          <w:color w:val="000000" w:themeShade="bf"/>
          <w:sz w:val="28"/>
          <w:szCs w:val="28"/>
        </w:rPr>
        <w:t>Фото 3. Норичник меловой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</w:rPr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5695950" cy="3413125"/>
            <wp:effectExtent l="0" t="0" r="0" b="0"/>
            <wp:docPr id="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6" t="-21" r="-16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/>
      </w:pPr>
      <w:r>
        <w:rPr>
          <w:rFonts w:eastAsia="MS Mincho" w:cs="Times New Roman"/>
          <w:color w:val="000000" w:themeShade="bf"/>
          <w:sz w:val="28"/>
          <w:szCs w:val="28"/>
        </w:rPr>
        <w:t>Фото 4. Сообщество с участием Норичника мелового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</w:rPr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3698875" cy="3550285"/>
            <wp:effectExtent l="0" t="0" r="0" b="0"/>
            <wp:docPr id="7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055" t="8828" r="14224" b="2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rFonts w:eastAsia="MS Mincho" w:cs="Times New Roman"/>
          <w:color w:val="000000" w:themeShade="bf"/>
          <w:sz w:val="28"/>
          <w:szCs w:val="28"/>
        </w:rPr>
        <w:t>Фото 5. Лен жилковатый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</w:rPr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5654675" cy="3909695"/>
            <wp:effectExtent l="0" t="0" r="0" b="0"/>
            <wp:docPr id="8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1" t="-28" r="-21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57" w:after="0"/>
        <w:ind w:left="0" w:right="0" w:hanging="0"/>
        <w:jc w:val="center"/>
        <w:rPr>
          <w:color w:val="000000"/>
          <w:sz w:val="28"/>
          <w:szCs w:val="28"/>
        </w:rPr>
      </w:pPr>
      <w:r>
        <w:rPr>
          <w:rFonts w:eastAsia="MS Mincho" w:cs="Times New Roman"/>
          <w:color w:val="000000" w:themeShade="bf"/>
          <w:sz w:val="28"/>
          <w:szCs w:val="28"/>
        </w:rPr>
        <w:t>Фото 6. Солнцецвет монетолистный</w:t>
      </w:r>
    </w:p>
    <w:p>
      <w:pPr>
        <w:pStyle w:val="Normal"/>
        <w:spacing w:before="57" w:after="0"/>
        <w:ind w:left="0" w:right="0" w:hanging="0"/>
        <w:jc w:val="center"/>
        <w:rPr>
          <w:rFonts w:ascii="Times New Roman" w:hAnsi="Times New Roman" w:eastAsia="MS Mincho" w:cs="Times New Roman"/>
          <w:color w:themeColor="accent1" w:themeShade="bf"/>
        </w:rPr>
      </w:pPr>
      <w:r>
        <w:rPr>
          <w:rFonts w:eastAsia="MS Mincho" w:cs="Times New Roman"/>
          <w:color w:themeColor="accent1" w:themeShade="bf"/>
        </w:rPr>
      </w:r>
    </w:p>
    <w:p>
      <w:pPr>
        <w:pStyle w:val="Normal"/>
        <w:spacing w:before="57" w:after="0"/>
        <w:ind w:left="0" w:right="0" w:hanging="0"/>
        <w:jc w:val="center"/>
        <w:rPr/>
      </w:pPr>
      <w:r>
        <w:rPr/>
      </w:r>
    </w:p>
    <w:sectPr>
      <w:headerReference w:type="default" r:id="rId10"/>
      <w:type w:val="nextPage"/>
      <w:pgSz w:w="11906" w:h="16838"/>
      <w:pgMar w:left="1559" w:right="1276" w:header="600" w:top="1170" w:footer="0" w:bottom="1134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8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70965" cy="151765"/>
              <wp:effectExtent l="6350" t="635" r="0" b="5715"/>
              <wp:wrapSquare wrapText="largest"/>
              <wp:docPr id="9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0160" cy="15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ind w:left="0" w:right="0" w:hanging="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172.8pt;margin-top:0.05pt;width:107.85pt;height:11.85pt;mso-position-horizontal:center;mso-position-horizontal-relative:margin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ind w:left="0" w:right="0" w:hanging="0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ind w:firstLine="720"/>
      <w:jc w:val="both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ru-R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1" w:customStyle="1">
    <w:name w:val="Основной шрифт абзаца1"/>
    <w:qFormat/>
    <w:rPr/>
  </w:style>
  <w:style w:type="character" w:styleId="2" w:customStyle="1">
    <w:name w:val="Знак Знак2"/>
    <w:qFormat/>
    <w:rPr>
      <w:sz w:val="24"/>
      <w:szCs w:val="24"/>
      <w:lang w:val="ru-RU" w:bidi="ar-SA"/>
    </w:rPr>
  </w:style>
  <w:style w:type="character" w:styleId="Strong">
    <w:name w:val="Strong"/>
    <w:qFormat/>
    <w:rPr>
      <w:b/>
      <w:bCs/>
    </w:rPr>
  </w:style>
  <w:style w:type="character" w:styleId="Pagenumber">
    <w:name w:val="page number"/>
    <w:basedOn w:val="1"/>
    <w:qFormat/>
    <w:rPr/>
  </w:style>
  <w:style w:type="character" w:styleId="5" w:customStyle="1">
    <w:name w:val="Заголовок №5_"/>
    <w:qFormat/>
    <w:rPr>
      <w:spacing w:val="6"/>
      <w:shd w:fill="FFFFFF" w:val="clear"/>
      <w:lang w:bidi="ar-SA"/>
    </w:rPr>
  </w:style>
  <w:style w:type="character" w:styleId="11" w:customStyle="1">
    <w:name w:val="Знак Знак1"/>
    <w:qFormat/>
    <w:rPr>
      <w:sz w:val="28"/>
      <w:szCs w:val="24"/>
      <w:lang w:val="ru-RU" w:bidi="ar-SA"/>
    </w:rPr>
  </w:style>
  <w:style w:type="character" w:styleId="9" w:customStyle="1">
    <w:name w:val="Знак Знак9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Знак Знак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WW8Num6z2" w:customStyle="1">
    <w:name w:val="WW8Num6z2"/>
    <w:qFormat/>
    <w:rsid w:val="00c3500b"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DejaVu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12" w:customStyle="1">
    <w:name w:val="Заголовок1"/>
    <w:basedOn w:val="Normal"/>
    <w:qFormat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13" w:customStyle="1">
    <w:name w:val="Указатель1"/>
    <w:basedOn w:val="Normal"/>
    <w:qFormat/>
    <w:pPr>
      <w:suppressLineNumbers/>
    </w:pPr>
    <w:rPr>
      <w:rFonts w:cs="DejaVu Sans"/>
    </w:rPr>
  </w:style>
  <w:style w:type="paragraph" w:styleId="NormalWeb">
    <w:name w:val="Normal (Web)"/>
    <w:basedOn w:val="Normal"/>
    <w:qFormat/>
    <w:pPr>
      <w:widowControl/>
      <w:spacing w:before="280" w:after="280"/>
      <w:ind w:hanging="0"/>
      <w:jc w:val="left"/>
    </w:pPr>
    <w:rPr>
      <w:sz w:val="24"/>
      <w:szCs w:val="24"/>
    </w:rPr>
  </w:style>
  <w:style w:type="paragraph" w:styleId="ListParagraph">
    <w:name w:val="List Paragraph"/>
    <w:basedOn w:val="Normal"/>
    <w:qFormat/>
    <w:pPr>
      <w:widowControl/>
      <w:spacing w:lineRule="auto" w:line="276" w:before="0" w:after="200"/>
      <w:ind w:left="720" w:hanging="0"/>
      <w:contextualSpacing/>
      <w:jc w:val="left"/>
    </w:pPr>
    <w:rPr>
      <w:rFonts w:ascii="Calibri" w:hAnsi="Calibri" w:eastAsia="Calibri" w:cs="Calibri"/>
      <w:sz w:val="22"/>
      <w:szCs w:val="22"/>
    </w:rPr>
  </w:style>
  <w:style w:type="paragraph" w:styleId="4" w:customStyle="1">
    <w:name w:val="Основной текст4"/>
    <w:basedOn w:val="Normal"/>
    <w:qFormat/>
    <w:pPr>
      <w:shd w:val="clear" w:color="auto" w:fill="FFFFFF"/>
      <w:spacing w:lineRule="auto" w:line="240" w:before="0" w:after="1320"/>
      <w:ind w:hanging="1720"/>
    </w:pPr>
    <w:rPr>
      <w:color w:val="000000"/>
      <w:spacing w:val="3"/>
      <w:sz w:val="24"/>
      <w:szCs w:val="24"/>
    </w:rPr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51" w:customStyle="1">
    <w:name w:val="Заголовок №5"/>
    <w:basedOn w:val="Normal"/>
    <w:qFormat/>
    <w:pPr>
      <w:shd w:val="clear" w:color="auto" w:fill="FFFFFF"/>
      <w:spacing w:lineRule="exact" w:line="317" w:before="0" w:after="360"/>
      <w:ind w:hanging="0"/>
      <w:jc w:val="left"/>
    </w:pPr>
    <w:rPr>
      <w:b/>
      <w:bCs/>
      <w:spacing w:val="6"/>
      <w:shd w:fill="FFFFFF" w:val="clear"/>
      <w:lang w:eastAsia="ru-RU"/>
    </w:rPr>
  </w:style>
  <w:style w:type="paragraph" w:styleId="Style21">
    <w:name w:val="Body Text Indent"/>
    <w:basedOn w:val="Normal"/>
    <w:pPr>
      <w:widowControl/>
      <w:ind w:firstLine="708"/>
    </w:pPr>
    <w:rPr>
      <w:sz w:val="28"/>
      <w:szCs w:val="24"/>
    </w:rPr>
  </w:style>
  <w:style w:type="paragraph" w:styleId="ConsPlusNormal" w:customStyle="1">
    <w:name w:val="ConsPlus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8"/>
      <w:szCs w:val="28"/>
      <w:lang w:val="ru-RU" w:eastAsia="zh-CN" w:bidi="ar-SA"/>
    </w:rPr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4" w:customStyle="1">
    <w:name w:val="Абзац списка1"/>
    <w:basedOn w:val="Normal"/>
    <w:qFormat/>
    <w:pPr>
      <w:widowControl/>
      <w:spacing w:lineRule="auto" w:line="276" w:before="0" w:after="200"/>
      <w:ind w:left="720" w:hanging="0"/>
      <w:contextualSpacing/>
      <w:jc w:val="left"/>
    </w:pPr>
    <w:rPr>
      <w:rFonts w:ascii="Calibri" w:hAnsi="Calibri" w:cs="Calibri"/>
      <w:sz w:val="22"/>
      <w:szCs w:val="22"/>
    </w:rPr>
  </w:style>
  <w:style w:type="paragraph" w:styleId="Style23" w:customStyle="1">
    <w:name w:val="Содержимое таблицы"/>
    <w:basedOn w:val="Normal"/>
    <w:qFormat/>
    <w:pPr>
      <w:suppressLineNumbers/>
    </w:pPr>
    <w:rPr/>
  </w:style>
  <w:style w:type="paragraph" w:styleId="Style24" w:customStyle="1">
    <w:name w:val="Заголовок таблицы"/>
    <w:basedOn w:val="Style23"/>
    <w:qFormat/>
    <w:pPr>
      <w:jc w:val="center"/>
    </w:pPr>
    <w:rPr>
      <w:b/>
      <w:bCs/>
    </w:rPr>
  </w:style>
  <w:style w:type="paragraph" w:styleId="Style25" w:customStyle="1">
    <w:name w:val="Содержимое врезки"/>
    <w:basedOn w:val="Normal"/>
    <w:qFormat/>
    <w:pPr/>
    <w:rPr/>
  </w:style>
  <w:style w:type="paragraph" w:styleId="3" w:customStyle="1">
    <w:name w:val="Основной текст3"/>
    <w:basedOn w:val="Normal"/>
    <w:qFormat/>
    <w:rsid w:val="003e4649"/>
    <w:pPr>
      <w:shd w:val="clear" w:color="auto" w:fill="FFFFFF"/>
      <w:spacing w:lineRule="auto" w:line="240" w:before="0" w:after="1320"/>
      <w:ind w:hanging="1720"/>
    </w:pPr>
    <w:rPr>
      <w:rFonts w:ascii="Calibri" w:hAnsi="Calibri" w:cs="Calibri"/>
      <w:spacing w:val="3"/>
      <w:sz w:val="22"/>
      <w:szCs w:val="22"/>
      <w:shd w:fill="FFFFFF" w:val="clear"/>
    </w:rPr>
  </w:style>
  <w:style w:type="paragraph" w:styleId="21">
    <w:name w:val="Основной текст (2)"/>
    <w:basedOn w:val="Normal"/>
    <w:qFormat/>
    <w:pPr>
      <w:widowControl w:val="false"/>
      <w:shd w:val="clear" w:color="auto" w:fill="FFFFFF"/>
      <w:spacing w:lineRule="exact" w:line="307" w:before="1320" w:after="240"/>
      <w:ind w:hanging="1960"/>
      <w:jc w:val="both"/>
    </w:pPr>
    <w:rPr>
      <w:b/>
      <w:bCs/>
      <w:spacing w:val="6"/>
      <w:sz w:val="20"/>
      <w:szCs w:val="20"/>
      <w:shd w:fill="FFFFFF" w:val="clea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A08F4-36DA-4088-A539-267F74C06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Application>LibreOffice/6.1.1.2$Windows_x86 LibreOffice_project/5d19a1bfa650b796764388cd8b33a5af1f5baa1b</Application>
  <Pages>8</Pages>
  <Words>1084</Words>
  <Characters>7578</Characters>
  <CharactersWithSpaces>8694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2018-08-01T11:50:00Z</dcterms:created>
  <dc:creator>cherkasov</dc:creator>
  <dc:description/>
  <dc:language>ru-RU</dc:language>
  <cp:lastModifiedBy/>
  <cp:lastPrinted>2018-10-17T13:10:38Z</cp:lastPrinted>
  <dcterms:modified xsi:type="dcterms:W3CDTF">2018-10-17T13:10:42Z</dcterms:modified>
  <cp:revision>46</cp:revision>
  <dc:subject/>
  <dc:title>УТВЕРЖДЕНА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