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7B" w:rsidRDefault="00A57D7B" w:rsidP="00B659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7B" w:rsidRPr="00A57D7B" w:rsidRDefault="00A57D7B" w:rsidP="00A57D7B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7D7B">
        <w:rPr>
          <w:rFonts w:ascii="Times New Roman" w:hAnsi="Times New Roman" w:cs="Times New Roman"/>
          <w:sz w:val="28"/>
          <w:szCs w:val="28"/>
        </w:rPr>
        <w:t>УТВЕРЖДЕН</w:t>
      </w:r>
      <w:r w:rsidR="00942B08">
        <w:rPr>
          <w:rFonts w:ascii="Times New Roman" w:hAnsi="Times New Roman" w:cs="Times New Roman"/>
          <w:sz w:val="28"/>
          <w:szCs w:val="28"/>
        </w:rPr>
        <w:t>Ы</w:t>
      </w:r>
    </w:p>
    <w:p w:rsidR="00A57D7B" w:rsidRDefault="00A57D7B" w:rsidP="00A57D7B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57D7B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A57D7B" w:rsidRPr="00A57D7B" w:rsidRDefault="00A57D7B" w:rsidP="00A57D7B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____-ра</w:t>
      </w:r>
      <w:proofErr w:type="spellEnd"/>
    </w:p>
    <w:p w:rsidR="00A57D7B" w:rsidRDefault="00A57D7B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2B08" w:rsidRDefault="00942B08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2E63" w:rsidRDefault="001E2E63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2E63" w:rsidRDefault="001E2E63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2E63" w:rsidRDefault="001E2E63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2B08" w:rsidRDefault="00942B08" w:rsidP="00942B08">
      <w:pPr>
        <w:tabs>
          <w:tab w:val="left" w:pos="262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42B08" w:rsidRDefault="00942B08" w:rsidP="00942B08">
      <w:pPr>
        <w:tabs>
          <w:tab w:val="left" w:pos="262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распоряжение Администрации </w:t>
      </w:r>
    </w:p>
    <w:p w:rsidR="00A57D7B" w:rsidRDefault="00942B08" w:rsidP="00942B08">
      <w:pPr>
        <w:tabs>
          <w:tab w:val="left" w:pos="262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от 15.12.2016 № 450-ра «Об утверждении долгосрочного прогноза социально-экономического развития Курской области до 2030 года</w:t>
      </w:r>
    </w:p>
    <w:p w:rsidR="00942B08" w:rsidRDefault="00942B08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2E63" w:rsidRDefault="001E2E63" w:rsidP="00A57D7B">
      <w:pPr>
        <w:tabs>
          <w:tab w:val="left" w:pos="26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8A7" w:rsidRDefault="006D08A7" w:rsidP="00A054A5">
      <w:pPr>
        <w:tabs>
          <w:tab w:val="left" w:pos="26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абзаце втором слов</w:t>
      </w:r>
      <w:r w:rsidR="00945D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«прилагаемые» заменить слов</w:t>
      </w:r>
      <w:r w:rsidR="00945D4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«прилагаемый</w:t>
      </w:r>
      <w:r w:rsidR="00945D45" w:rsidRPr="00945D45">
        <w:rPr>
          <w:rFonts w:ascii="Times New Roman" w:hAnsi="Times New Roman" w:cs="Times New Roman"/>
          <w:sz w:val="28"/>
          <w:szCs w:val="28"/>
        </w:rPr>
        <w:t xml:space="preserve"> </w:t>
      </w:r>
      <w:r w:rsidR="00945D4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Курской области до 2030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08A7" w:rsidRDefault="00D97021" w:rsidP="00A054A5">
      <w:pPr>
        <w:tabs>
          <w:tab w:val="left" w:pos="26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третий</w:t>
      </w:r>
      <w:r w:rsidR="00945D45">
        <w:rPr>
          <w:rFonts w:ascii="Times New Roman" w:hAnsi="Times New Roman" w:cs="Times New Roman"/>
          <w:sz w:val="28"/>
          <w:szCs w:val="28"/>
        </w:rPr>
        <w:t>,</w:t>
      </w:r>
      <w:r w:rsidR="006D08A7">
        <w:rPr>
          <w:rFonts w:ascii="Times New Roman" w:hAnsi="Times New Roman" w:cs="Times New Roman"/>
          <w:sz w:val="28"/>
          <w:szCs w:val="28"/>
        </w:rPr>
        <w:t xml:space="preserve"> четвертый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08A7">
        <w:rPr>
          <w:rFonts w:ascii="Times New Roman" w:hAnsi="Times New Roman" w:cs="Times New Roman"/>
          <w:sz w:val="28"/>
          <w:szCs w:val="28"/>
        </w:rPr>
        <w:t xml:space="preserve"> пятый исключить.</w:t>
      </w:r>
    </w:p>
    <w:p w:rsidR="00410580" w:rsidRDefault="00945D45" w:rsidP="00A054A5">
      <w:pPr>
        <w:tabs>
          <w:tab w:val="left" w:pos="26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021">
        <w:rPr>
          <w:rFonts w:ascii="Times New Roman" w:hAnsi="Times New Roman" w:cs="Times New Roman"/>
          <w:sz w:val="28"/>
          <w:szCs w:val="28"/>
        </w:rPr>
        <w:t>.</w:t>
      </w:r>
      <w:r w:rsidR="00942B08" w:rsidRPr="00942B08">
        <w:rPr>
          <w:rFonts w:ascii="Times New Roman" w:hAnsi="Times New Roman" w:cs="Times New Roman"/>
          <w:sz w:val="28"/>
          <w:szCs w:val="28"/>
        </w:rPr>
        <w:t xml:space="preserve"> </w:t>
      </w:r>
      <w:r w:rsidR="00D906FA">
        <w:rPr>
          <w:rFonts w:ascii="Times New Roman" w:hAnsi="Times New Roman" w:cs="Times New Roman"/>
          <w:sz w:val="28"/>
          <w:szCs w:val="28"/>
        </w:rPr>
        <w:t>Дополнить указанное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прогнозом социально-экономического развития Курской области до 2030 года в следующей редакции:</w:t>
      </w:r>
    </w:p>
    <w:p w:rsidR="00D906FA" w:rsidRDefault="00D906FA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E2E63" w:rsidRDefault="001E2E63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E2E63" w:rsidRDefault="001E2E63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906FA" w:rsidRPr="00A57D7B" w:rsidRDefault="00945D45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6FA" w:rsidRPr="00A57D7B">
        <w:rPr>
          <w:rFonts w:ascii="Times New Roman" w:hAnsi="Times New Roman" w:cs="Times New Roman"/>
          <w:sz w:val="28"/>
          <w:szCs w:val="28"/>
        </w:rPr>
        <w:t>УТВЕРЖДЕН</w:t>
      </w:r>
    </w:p>
    <w:p w:rsidR="00D906FA" w:rsidRDefault="00D906FA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57D7B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D906FA" w:rsidRDefault="00D906FA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____-ра</w:t>
      </w:r>
      <w:proofErr w:type="spellEnd"/>
    </w:p>
    <w:p w:rsidR="00945D45" w:rsidRPr="00A57D7B" w:rsidRDefault="00945D45" w:rsidP="00D906FA">
      <w:pPr>
        <w:tabs>
          <w:tab w:val="left" w:pos="2625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D08A7" w:rsidRDefault="006D08A7" w:rsidP="00A054A5">
      <w:pPr>
        <w:tabs>
          <w:tab w:val="left" w:pos="26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D7B" w:rsidRDefault="00B65922" w:rsidP="00B659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22">
        <w:rPr>
          <w:rFonts w:ascii="Times New Roman" w:hAnsi="Times New Roman" w:cs="Times New Roman"/>
          <w:b/>
          <w:sz w:val="28"/>
          <w:szCs w:val="28"/>
        </w:rPr>
        <w:t>П</w:t>
      </w:r>
      <w:r w:rsidR="00A57D7B">
        <w:rPr>
          <w:rFonts w:ascii="Times New Roman" w:hAnsi="Times New Roman" w:cs="Times New Roman"/>
          <w:b/>
          <w:sz w:val="28"/>
          <w:szCs w:val="28"/>
        </w:rPr>
        <w:t>рогноз</w:t>
      </w:r>
      <w:r w:rsidRPr="00B65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D7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B65922" w:rsidRDefault="00B65922" w:rsidP="00B659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22">
        <w:rPr>
          <w:rFonts w:ascii="Times New Roman" w:hAnsi="Times New Roman" w:cs="Times New Roman"/>
          <w:b/>
          <w:sz w:val="28"/>
          <w:szCs w:val="28"/>
        </w:rPr>
        <w:t>Курской области до 2030 года</w:t>
      </w:r>
    </w:p>
    <w:p w:rsidR="00B65922" w:rsidRPr="00B65922" w:rsidRDefault="00B65922" w:rsidP="00B659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F5" w:rsidRPr="005B0E2E" w:rsidRDefault="002871F5" w:rsidP="002871F5">
      <w:pPr>
        <w:pStyle w:val="BodyTextIndent21"/>
        <w:widowControl w:val="0"/>
      </w:pPr>
      <w:r w:rsidRPr="005B0E2E">
        <w:rPr>
          <w:szCs w:val="28"/>
        </w:rPr>
        <w:t xml:space="preserve">Прогноз социально-экономического развития Курской области </w:t>
      </w:r>
      <w:r>
        <w:rPr>
          <w:szCs w:val="28"/>
        </w:rPr>
        <w:t>до 2030 года</w:t>
      </w:r>
      <w:r w:rsidR="00E144A0">
        <w:rPr>
          <w:szCs w:val="28"/>
        </w:rPr>
        <w:t xml:space="preserve">  (далее – прогноз) разработан</w:t>
      </w:r>
      <w:r w:rsidRPr="005B0E2E">
        <w:rPr>
          <w:szCs w:val="28"/>
        </w:rPr>
        <w:t xml:space="preserve"> в соответствии с Федеральным законом от  28 июня 2014 года № 172-ФЗ «О стратегическом планировании в Российской Федерации» и </w:t>
      </w:r>
      <w:r w:rsidRPr="005B0E2E">
        <w:t xml:space="preserve">постановлениями Администрации Курской области от 16.05.2018 № 402-па «О разработке прогноза социально-экономического развития Курской области и проекта областного бюджета на 2019 год и на плановый период 2020 и 2021 годов», от 25.12.2015 № 940-па «О Порядке разработки и корректировки прогнозов социально-экономического развития Курской области на среднесрочный и </w:t>
      </w:r>
      <w:r w:rsidRPr="005B0E2E">
        <w:lastRenderedPageBreak/>
        <w:t>долгосрочный периоды» на основе:</w:t>
      </w:r>
    </w:p>
    <w:p w:rsidR="002871F5" w:rsidRDefault="002871F5" w:rsidP="002871F5">
      <w:pPr>
        <w:pStyle w:val="BodyTextIndent21"/>
        <w:widowControl w:val="0"/>
      </w:pPr>
      <w:r>
        <w:t>исходной информации для использования при разработке</w:t>
      </w:r>
      <w:r w:rsidRPr="000E59FB">
        <w:t xml:space="preserve"> прогноза социально-экономического развития Российской Федерации</w:t>
      </w:r>
      <w:r w:rsidRPr="000E59FB">
        <w:rPr>
          <w:szCs w:val="28"/>
        </w:rPr>
        <w:t xml:space="preserve"> на </w:t>
      </w:r>
      <w:r>
        <w:rPr>
          <w:szCs w:val="28"/>
        </w:rPr>
        <w:t>период до 2024 года</w:t>
      </w:r>
      <w:r w:rsidRPr="000E59FB">
        <w:rPr>
          <w:szCs w:val="28"/>
        </w:rPr>
        <w:t xml:space="preserve"> (базов</w:t>
      </w:r>
      <w:r>
        <w:rPr>
          <w:szCs w:val="28"/>
        </w:rPr>
        <w:t>ый сценарий</w:t>
      </w:r>
      <w:r w:rsidRPr="000E59FB">
        <w:rPr>
          <w:szCs w:val="28"/>
        </w:rPr>
        <w:t>), направленн</w:t>
      </w:r>
      <w:r>
        <w:rPr>
          <w:szCs w:val="28"/>
        </w:rPr>
        <w:t>ой</w:t>
      </w:r>
      <w:r w:rsidRPr="000E59FB">
        <w:rPr>
          <w:szCs w:val="28"/>
        </w:rPr>
        <w:t xml:space="preserve"> Министерством экономического развития Российской Федерации органам государственной власти субъектов Российской Федерации </w:t>
      </w:r>
      <w:r w:rsidRPr="00A64435">
        <w:rPr>
          <w:szCs w:val="28"/>
        </w:rPr>
        <w:t>(письмо от 18.07.2018 г. № Д14и-1426)</w:t>
      </w:r>
      <w:r w:rsidRPr="00A64435">
        <w:t>;</w:t>
      </w:r>
    </w:p>
    <w:p w:rsidR="002871F5" w:rsidRPr="00A64435" w:rsidRDefault="002871F5" w:rsidP="002871F5">
      <w:pPr>
        <w:pStyle w:val="BodyTextIndent21"/>
        <w:widowControl w:val="0"/>
      </w:pPr>
      <w:r>
        <w:t>прогноза социально-экономического развития Российской Федерации на период до 2024 года, одобренного на заседании Правительства Российской Федерации 20 сентября 2018 года;</w:t>
      </w:r>
    </w:p>
    <w:p w:rsidR="00B9764D" w:rsidRDefault="002871F5" w:rsidP="002871F5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2A541D">
        <w:rPr>
          <w:color w:val="auto"/>
          <w:sz w:val="28"/>
          <w:szCs w:val="28"/>
        </w:rPr>
        <w:t>предложений участников разработки прогноза социально- экономического развития Курской области</w:t>
      </w:r>
      <w:r>
        <w:rPr>
          <w:color w:val="auto"/>
          <w:sz w:val="28"/>
          <w:szCs w:val="28"/>
        </w:rPr>
        <w:t>,</w:t>
      </w:r>
      <w:r w:rsidRPr="002A541D">
        <w:rPr>
          <w:color w:val="auto"/>
          <w:sz w:val="28"/>
          <w:szCs w:val="28"/>
        </w:rPr>
        <w:t xml:space="preserve"> с учетом проведенного в июне 2018 года согласования с муниципальными образованиями Курской области основных показателей прогноза социально-экономического развития на 201</w:t>
      </w:r>
      <w:r>
        <w:rPr>
          <w:color w:val="auto"/>
          <w:sz w:val="28"/>
          <w:szCs w:val="28"/>
        </w:rPr>
        <w:t>9</w:t>
      </w:r>
      <w:r w:rsidRPr="002A541D">
        <w:rPr>
          <w:color w:val="auto"/>
          <w:sz w:val="28"/>
          <w:szCs w:val="28"/>
        </w:rPr>
        <w:t xml:space="preserve"> год и плановый период 20</w:t>
      </w:r>
      <w:r>
        <w:rPr>
          <w:color w:val="auto"/>
          <w:sz w:val="28"/>
          <w:szCs w:val="28"/>
        </w:rPr>
        <w:t>20</w:t>
      </w:r>
      <w:r w:rsidRPr="002A541D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1</w:t>
      </w:r>
      <w:r w:rsidRPr="002A541D">
        <w:rPr>
          <w:color w:val="auto"/>
          <w:sz w:val="28"/>
          <w:szCs w:val="28"/>
        </w:rPr>
        <w:t xml:space="preserve"> годов (в трех вариантах), отражающих динамику развития Курской области за предыдущие годы, ожидаемые итоги социально-экономического развития области за 201</w:t>
      </w:r>
      <w:r>
        <w:rPr>
          <w:color w:val="auto"/>
          <w:sz w:val="28"/>
          <w:szCs w:val="28"/>
        </w:rPr>
        <w:t>8</w:t>
      </w:r>
      <w:r w:rsidRPr="002A541D">
        <w:rPr>
          <w:color w:val="auto"/>
          <w:sz w:val="28"/>
          <w:szCs w:val="28"/>
        </w:rPr>
        <w:t xml:space="preserve"> год,</w:t>
      </w:r>
      <w:r w:rsidRPr="002A541D">
        <w:rPr>
          <w:rFonts w:eastAsia="Calibri"/>
          <w:color w:val="auto"/>
          <w:sz w:val="28"/>
          <w:szCs w:val="28"/>
        </w:rPr>
        <w:t xml:space="preserve"> социально-демографические процессы, тенденции их развития и другие условия функционирования экономики и социальной сферы в Курской  области</w:t>
      </w:r>
      <w:r w:rsidR="00B9764D">
        <w:rPr>
          <w:rFonts w:eastAsia="Calibri"/>
          <w:color w:val="auto"/>
          <w:sz w:val="28"/>
          <w:szCs w:val="28"/>
        </w:rPr>
        <w:t>;</w:t>
      </w:r>
    </w:p>
    <w:p w:rsidR="002871F5" w:rsidRPr="002A541D" w:rsidRDefault="00B9764D" w:rsidP="002871F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прогноза социально-экономического развития Курской области на 2019 год и на плановый период 2020 и 2021 годов, одобренного распоряжением Администрации Курской области от 31.10.2018 № 455-ра</w:t>
      </w:r>
      <w:r w:rsidR="001E2E63">
        <w:rPr>
          <w:rFonts w:eastAsia="Calibri"/>
          <w:color w:val="auto"/>
          <w:sz w:val="28"/>
          <w:szCs w:val="28"/>
        </w:rPr>
        <w:t>;</w:t>
      </w:r>
    </w:p>
    <w:p w:rsidR="00F91608" w:rsidRDefault="00F91608" w:rsidP="00F9160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предложений участников по корректировке показателей прогноза социально-экономического развития Курской области до 2030 года, утвержденных распоряжением Администрации Курской области от 15.12.2016 № 450-ра.</w:t>
      </w:r>
    </w:p>
    <w:p w:rsidR="002871F5" w:rsidRDefault="002871F5" w:rsidP="002871F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541D">
        <w:rPr>
          <w:rFonts w:ascii="Times New Roman" w:eastAsia="Calibri" w:hAnsi="Times New Roman" w:cs="Times New Roman"/>
          <w:color w:val="auto"/>
          <w:sz w:val="28"/>
          <w:szCs w:val="28"/>
        </w:rPr>
        <w:t>При подготовке основных параметров прогноза были использованы данные государственной статистики, органов исполнительной власти Курской области, органов местного самоуправления, предприятий и организаций.</w:t>
      </w:r>
    </w:p>
    <w:p w:rsidR="00F31F48" w:rsidRDefault="00F31F48" w:rsidP="00F31F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48" w:rsidRDefault="008779BD" w:rsidP="00F31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1F48" w:rsidRPr="00B65922">
        <w:rPr>
          <w:rFonts w:ascii="Times New Roman" w:hAnsi="Times New Roman" w:cs="Times New Roman"/>
          <w:b/>
          <w:sz w:val="28"/>
          <w:szCs w:val="28"/>
        </w:rPr>
        <w:t>Оценка достигнутого уровня социально-экономического развития Курской области и ожидаемые итоги социально-экономического развития Курской области за 201</w:t>
      </w:r>
      <w:r w:rsidR="00F31F48">
        <w:rPr>
          <w:rFonts w:ascii="Times New Roman" w:hAnsi="Times New Roman" w:cs="Times New Roman"/>
          <w:b/>
          <w:sz w:val="28"/>
          <w:szCs w:val="28"/>
        </w:rPr>
        <w:t>8</w:t>
      </w:r>
      <w:r w:rsidR="00F31F48" w:rsidRPr="00B659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57A18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По итогам 2017 года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основной макроэкономический показатель - </w:t>
      </w: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валовой региональный продукт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оценивается с ростом на 2,6 % (по России оценка на уровне 101,5 %).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Среднегодовая численность населения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целом по Курской области за 2017 год сложилась на уровне 1119,07 тыс. человек (в 2016 году – 1121,46 тыс. человек). 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Индекс промышленного производства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итогам 2017 года составил 103,1 % к 2016 году (по России – 102,1 %, по ЦФО – 102,1%), в том числе в добыче полезных ископаемых – 101,1 % (по России – 102,1 %, по ЦФО – 102,0 %); в обрабатывающих отраслях - 104,8 % (по России – 102,5 %, по 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ЦФО – 102,2 %); в обеспечении электрической энергией, газом и паром, кондиционировании воздуха – 103,4 % (по России – 99,6 %, по ЦФО –            99,7 %); в водоснабжении, водоотведении, организации сбора и утилизации отходов, деятельности по ликвидации загрязнений – 114,1 % (по России –  97,9 %, по ЦФО – 101,0 %). 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Индекс производства продукции  сельского хозяйства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итогам 2017 года составил 107,0 % (по России – 102,4 %, по ЦФО – 102,9 %).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Агропромышленный комплекс Курской области продемонстрировал хорошие темпы роста: произведено 5,0 млн. тонн зерна (в весе после доработки) и  5,6 млн. тонн сахарной свеклы, 521,6 тыс. тонн мяса — это вторые места в ЦФО. 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Объем инвестиций в основной капитал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вырос на 1,7 % к уровню 2016 года (в сопоставимых ценах) и составил 100,6 млрд. рублей (индекс физического объема инвестиций по России – 104,4 %, по ЦФО – 106,6 %).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Работы по виду </w:t>
      </w: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деятельности «Строительство»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2017 году  выполнены в объеме 48,8 млрд. рублей (100,4 % к 2016 году). Сданы в эксплуатацию жилые дома площадью 590,5 тыс. кв. метров (100,7 % к  уровню 2016 года). Введено в эксплуатацию 421,3 км газораспределительных сетей. На начало 2018 года уровень газификации по Курской области составил 95,1 %, в том числе в сельской местности –           91,2 %.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>Продолжалось строительство социально значимых объектов в сфере образования, здравоохранения, культуры, спорта.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итогам 2017 года индекс физического объема </w:t>
      </w: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оборота розничной торговли 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составил 100,2 % (по России – 101,3 %, по ЦФО – 102,3 %), </w:t>
      </w: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оборота общественного питания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102,6 % (по России – 102,5 %),  объема </w:t>
      </w: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платных услуг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99,4 % (по России – 101,4 %).</w:t>
      </w:r>
    </w:p>
    <w:p w:rsidR="00F31F48" w:rsidRP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ростом на 7,4 % выросла </w:t>
      </w: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среднемесячная заработная плата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одного работника (по России – рост на 6,7 %); на 5,1 % возросли денежные доходы на душу населения, превысив в 3,1 раза величину прожиточного минимума.</w:t>
      </w:r>
    </w:p>
    <w:p w:rsidR="00F31F48" w:rsidRDefault="00F31F48" w:rsidP="00F31F4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57A18">
        <w:rPr>
          <w:rFonts w:ascii="Times New Roman" w:eastAsia="Calibri" w:hAnsi="Times New Roman" w:cs="Times New Roman"/>
          <w:i/>
          <w:color w:val="auto"/>
          <w:sz w:val="28"/>
          <w:szCs w:val="28"/>
        </w:rPr>
        <w:t>Уровень безработицы к экономически активному населению</w:t>
      </w:r>
      <w:r w:rsidRPr="00F31F4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2017 году (по методологии МОТ) составил 4,1 %; уровень регистрируемой безработицы – 0,76 %.</w:t>
      </w:r>
    </w:p>
    <w:p w:rsidR="00B65922" w:rsidRPr="00281C59" w:rsidRDefault="00B65922" w:rsidP="00DA5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59">
        <w:rPr>
          <w:rFonts w:ascii="Times New Roman" w:hAnsi="Times New Roman" w:cs="Times New Roman"/>
          <w:sz w:val="28"/>
          <w:szCs w:val="28"/>
        </w:rPr>
        <w:t>В полном объеме и своевременно обеспечивалась реализация мер социальной поддержки отдельных категорий граждан.</w:t>
      </w:r>
    </w:p>
    <w:p w:rsidR="00B65922" w:rsidRPr="00E57A18" w:rsidRDefault="00B65922" w:rsidP="00DA597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A18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281C59" w:rsidRPr="00E57A1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57A18">
        <w:rPr>
          <w:rFonts w:ascii="Times New Roman" w:hAnsi="Times New Roman" w:cs="Times New Roman"/>
          <w:b/>
          <w:i/>
          <w:sz w:val="28"/>
          <w:szCs w:val="28"/>
        </w:rPr>
        <w:t xml:space="preserve"> году в области сохранена положительная динамика отдельных показателей реального сектора экономики и социальной сферы.</w:t>
      </w:r>
    </w:p>
    <w:p w:rsidR="00B906BE" w:rsidRPr="00B906BE" w:rsidRDefault="00B65922" w:rsidP="00B906B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6BE">
        <w:rPr>
          <w:rFonts w:ascii="Times New Roman" w:hAnsi="Times New Roman" w:cs="Times New Roman"/>
          <w:sz w:val="28"/>
          <w:szCs w:val="28"/>
        </w:rPr>
        <w:t>По итогам</w:t>
      </w:r>
      <w:r w:rsidR="00DA5973" w:rsidRPr="00B906BE">
        <w:rPr>
          <w:rFonts w:ascii="Times New Roman" w:hAnsi="Times New Roman" w:cs="Times New Roman"/>
          <w:sz w:val="28"/>
          <w:szCs w:val="28"/>
        </w:rPr>
        <w:t xml:space="preserve"> 10</w:t>
      </w:r>
      <w:r w:rsidRPr="00B906B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B906BE" w:rsidRPr="00B906BE">
        <w:rPr>
          <w:rFonts w:ascii="Times New Roman" w:hAnsi="Times New Roman" w:cs="Times New Roman"/>
          <w:sz w:val="28"/>
          <w:szCs w:val="28"/>
        </w:rPr>
        <w:t>2018 года индекс промышленного производства составил 103,7 %,</w:t>
      </w:r>
      <w:r w:rsidR="00B906BE" w:rsidRPr="00B906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06BE" w:rsidRPr="00B906BE">
        <w:rPr>
          <w:rFonts w:ascii="Times New Roman" w:hAnsi="Times New Roman" w:cs="Times New Roman"/>
          <w:sz w:val="28"/>
          <w:szCs w:val="28"/>
        </w:rPr>
        <w:t>в том числе в добыче полезных ископаемых – 111,6 %; обрабатывающих производствах – 103,2 %; обеспечении электрической энергией, газом и паром, кондиционировании воздуха – 87,9 %</w:t>
      </w:r>
      <w:r w:rsidR="00B906BE" w:rsidRPr="00B906BE">
        <w:rPr>
          <w:rFonts w:ascii="Times New Roman" w:eastAsia="T3Font_8" w:hAnsi="Times New Roman" w:cs="Times New Roman"/>
          <w:bCs/>
          <w:sz w:val="28"/>
          <w:szCs w:val="28"/>
        </w:rPr>
        <w:t xml:space="preserve">;  </w:t>
      </w:r>
      <w:r w:rsidR="00B906BE" w:rsidRPr="00B906BE">
        <w:rPr>
          <w:rFonts w:ascii="Times New Roman" w:hAnsi="Times New Roman" w:cs="Times New Roman"/>
          <w:sz w:val="28"/>
          <w:szCs w:val="28"/>
        </w:rPr>
        <w:t>водоснабжении, водоотведении, организации сбора и утилизации отходов, деятельности по ликвидации загрязнений – 114,7 %.</w:t>
      </w:r>
      <w:r w:rsidR="00B906BE" w:rsidRPr="00B906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3A65" w:rsidRPr="003567A9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0ED">
        <w:rPr>
          <w:rFonts w:ascii="Times New Roman" w:hAnsi="Times New Roman"/>
          <w:color w:val="auto"/>
          <w:sz w:val="28"/>
          <w:szCs w:val="28"/>
        </w:rPr>
        <w:lastRenderedPageBreak/>
        <w:t>В основе роста объема производства</w:t>
      </w:r>
      <w:r w:rsidRPr="003567A9">
        <w:rPr>
          <w:rFonts w:ascii="Times New Roman" w:hAnsi="Times New Roman"/>
          <w:color w:val="auto"/>
          <w:sz w:val="28"/>
          <w:szCs w:val="28"/>
        </w:rPr>
        <w:t xml:space="preserve"> в промышленности в 2018 году - реализация </w:t>
      </w:r>
      <w:r w:rsidRPr="003567A9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государственной программы «Развитие промышленности в Курской области и повышение ее конкурентоспособности», регионального Плана по импортозамещению в Курской </w:t>
      </w:r>
      <w:r w:rsidRPr="0096467D">
        <w:rPr>
          <w:rFonts w:ascii="Times New Roman" w:hAnsi="Times New Roman" w:cs="Times New Roman"/>
          <w:color w:val="auto"/>
          <w:sz w:val="28"/>
          <w:szCs w:val="28"/>
        </w:rPr>
        <w:t>области на 2016-2020 годы</w:t>
      </w:r>
      <w:r w:rsidRPr="003567A9">
        <w:rPr>
          <w:rFonts w:ascii="Times New Roman" w:hAnsi="Times New Roman" w:cs="Times New Roman"/>
          <w:color w:val="auto"/>
          <w:sz w:val="28"/>
          <w:szCs w:val="28"/>
        </w:rPr>
        <w:t>,  с</w:t>
      </w:r>
      <w:r w:rsidRPr="00356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оглашений о сотрудничестве между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Курской </w:t>
      </w:r>
      <w:r w:rsidRPr="00356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области, собственниками и руководством промышленных предприятий, реализация </w:t>
      </w:r>
      <w:r w:rsidRPr="003567A9">
        <w:rPr>
          <w:rFonts w:ascii="Times New Roman" w:hAnsi="Times New Roman" w:cs="Times New Roman"/>
          <w:color w:val="auto"/>
          <w:sz w:val="28"/>
          <w:szCs w:val="28"/>
        </w:rPr>
        <w:t>инвестиционных проектов предприятиями промышленного комплекса, связанных с техническим перевооружением, расширением действующих производств, а также освоением выпуска новых видов  конкурентоспособной продукции, в том числе импортозамещающей.</w:t>
      </w:r>
    </w:p>
    <w:p w:rsidR="007F3A65" w:rsidRPr="00BA1EB5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7A9">
        <w:rPr>
          <w:rFonts w:ascii="Times New Roman" w:hAnsi="Times New Roman" w:cs="Times New Roman"/>
          <w:color w:val="auto"/>
          <w:sz w:val="28"/>
          <w:szCs w:val="28"/>
        </w:rPr>
        <w:t xml:space="preserve">По оценке в 2018 году ожидается рост объема отгруженных товаров собственного производства (в ценах соответствующих лет) </w:t>
      </w:r>
      <w:r w:rsidRPr="0096467D">
        <w:rPr>
          <w:rFonts w:ascii="Times New Roman" w:hAnsi="Times New Roman" w:cs="Times New Roman"/>
          <w:color w:val="auto"/>
          <w:sz w:val="28"/>
          <w:szCs w:val="28"/>
        </w:rPr>
        <w:t>на 7,3 % к</w:t>
      </w:r>
      <w:r w:rsidRPr="003567A9">
        <w:rPr>
          <w:rFonts w:ascii="Times New Roman" w:hAnsi="Times New Roman" w:cs="Times New Roman"/>
          <w:color w:val="auto"/>
          <w:sz w:val="28"/>
          <w:szCs w:val="28"/>
        </w:rPr>
        <w:t xml:space="preserve"> 2017 </w:t>
      </w:r>
      <w:r w:rsidRPr="00BA1EB5">
        <w:rPr>
          <w:rFonts w:ascii="Times New Roman" w:hAnsi="Times New Roman" w:cs="Times New Roman"/>
          <w:color w:val="auto"/>
          <w:sz w:val="28"/>
          <w:szCs w:val="28"/>
        </w:rPr>
        <w:t>году, индекс промышленного производства – 102,5 %.</w:t>
      </w:r>
    </w:p>
    <w:p w:rsidR="007F3A65" w:rsidRPr="00E966D5" w:rsidRDefault="007F3A65" w:rsidP="007F3A65">
      <w:pPr>
        <w:pStyle w:val="35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D6E">
        <w:rPr>
          <w:rFonts w:ascii="Times New Roman" w:hAnsi="Times New Roman" w:cs="Times New Roman"/>
          <w:i/>
          <w:sz w:val="28"/>
          <w:szCs w:val="28"/>
        </w:rPr>
        <w:t>Агропромышленный комплекс</w:t>
      </w:r>
      <w:r w:rsidRPr="00E966D5">
        <w:rPr>
          <w:rFonts w:ascii="Times New Roman" w:hAnsi="Times New Roman" w:cs="Times New Roman"/>
          <w:sz w:val="28"/>
          <w:szCs w:val="28"/>
        </w:rPr>
        <w:t xml:space="preserve"> и его базовая отрасль – сельское хозяйство являются приоритетными сферами экономики региона, формирующими агропродовольственный рынок, продовольственную безопасность, трудовой потенциал сельских территорий. </w:t>
      </w:r>
    </w:p>
    <w:p w:rsidR="007F3A65" w:rsidRPr="001D50ED" w:rsidRDefault="007F3A65" w:rsidP="007F3A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регионе п</w:t>
      </w:r>
      <w:r w:rsidRPr="00F516FC">
        <w:rPr>
          <w:rFonts w:ascii="Times New Roman" w:hAnsi="Times New Roman"/>
          <w:color w:val="auto"/>
          <w:sz w:val="28"/>
          <w:szCs w:val="28"/>
        </w:rPr>
        <w:t xml:space="preserve">ринимаются меры для успешного развития агропромышленного комплекса. Реализуются </w:t>
      </w:r>
      <w:r w:rsidRPr="00F516FC">
        <w:rPr>
          <w:rFonts w:ascii="Times New Roman" w:hAnsi="Times New Roman" w:cs="Times New Roman"/>
          <w:color w:val="auto"/>
          <w:sz w:val="28"/>
          <w:szCs w:val="28"/>
        </w:rPr>
        <w:t>мероприятия г</w:t>
      </w:r>
      <w:r w:rsidRPr="00F516FC">
        <w:rPr>
          <w:rFonts w:ascii="Times New Roman" w:hAnsi="Times New Roman"/>
          <w:color w:val="auto"/>
          <w:sz w:val="28"/>
          <w:szCs w:val="28"/>
        </w:rPr>
        <w:t xml:space="preserve">осударственной программы Курской области «Развитие сельского хозяйства и </w:t>
      </w:r>
      <w:r w:rsidRPr="001D50ED">
        <w:rPr>
          <w:rFonts w:ascii="Times New Roman" w:hAnsi="Times New Roman"/>
          <w:color w:val="auto"/>
          <w:sz w:val="28"/>
          <w:szCs w:val="28"/>
        </w:rPr>
        <w:t xml:space="preserve">регулирование рынков сельскохозяйственной продукции, сырья и продовольствия в Курской области», соглашения о сотрудничестве с агропромышленными компаниями.  </w:t>
      </w:r>
    </w:p>
    <w:p w:rsidR="0023351A" w:rsidRPr="0023351A" w:rsidRDefault="0023351A" w:rsidP="00233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1A">
        <w:rPr>
          <w:rFonts w:ascii="Times New Roman" w:hAnsi="Times New Roman" w:cs="Times New Roman"/>
          <w:i/>
          <w:sz w:val="28"/>
          <w:szCs w:val="28"/>
        </w:rPr>
        <w:t xml:space="preserve">Индекс производства продукции сельского хозяйства </w:t>
      </w:r>
      <w:r w:rsidRPr="0023351A">
        <w:rPr>
          <w:rFonts w:ascii="Times New Roman" w:hAnsi="Times New Roman" w:cs="Times New Roman"/>
          <w:sz w:val="28"/>
          <w:szCs w:val="28"/>
        </w:rPr>
        <w:t xml:space="preserve">в январе-октябре 2018 года составил 103,6 % к январю-октябрю 2017 года.  </w:t>
      </w:r>
    </w:p>
    <w:p w:rsidR="0023351A" w:rsidRPr="0023351A" w:rsidRDefault="0023351A" w:rsidP="0023351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351A">
        <w:rPr>
          <w:rFonts w:ascii="Times New Roman" w:hAnsi="Times New Roman" w:cs="Times New Roman"/>
          <w:sz w:val="28"/>
          <w:szCs w:val="28"/>
        </w:rPr>
        <w:t>На 1 ноября 2018 года в хозяйствах всех категорий намолочено 4467,4 тыс. тонн зерновых и зернобобовых культур в первоначально-оприходованном весе (93,7 % к аналогичной дате предыдущего года); накопано 4500,3 тыс. тонн сахарной свеклы (102,0 %)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1A" w:rsidRPr="0023351A" w:rsidRDefault="0023351A" w:rsidP="00233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1A">
        <w:rPr>
          <w:rFonts w:ascii="Times New Roman" w:hAnsi="Times New Roman" w:cs="Times New Roman"/>
          <w:sz w:val="28"/>
          <w:szCs w:val="28"/>
        </w:rPr>
        <w:t xml:space="preserve">В хозяйствах всех категорий произведено скота и птицы на убой в живом весе 452,4 тыс. тонн (103,0 % к январю-октябрю 2017 года), молока – 254,1 тыс. тонн (102,7 %), яиц – 116,5 млн. штук (97,4 %). </w:t>
      </w:r>
    </w:p>
    <w:p w:rsidR="007F3A65" w:rsidRPr="00FC2625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0ED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1D50ED">
        <w:rPr>
          <w:rFonts w:ascii="Times New Roman" w:hAnsi="Times New Roman" w:cs="Times New Roman"/>
          <w:color w:val="auto"/>
          <w:sz w:val="28"/>
          <w:szCs w:val="28"/>
        </w:rPr>
        <w:t>Агропромкомплектация-Курск</w:t>
      </w:r>
      <w:proofErr w:type="spellEnd"/>
      <w:r w:rsidRPr="001D50ED">
        <w:rPr>
          <w:rFonts w:ascii="Times New Roman" w:hAnsi="Times New Roman" w:cs="Times New Roman"/>
          <w:color w:val="auto"/>
          <w:sz w:val="28"/>
          <w:szCs w:val="28"/>
        </w:rPr>
        <w:t xml:space="preserve">» осуществляет реализацию проекта по строительству трех свиноводческих комплексов, одного в Дмитриевском районе и двух комплексов в </w:t>
      </w:r>
      <w:proofErr w:type="spellStart"/>
      <w:r w:rsidRPr="001D50ED">
        <w:rPr>
          <w:rFonts w:ascii="Times New Roman" w:hAnsi="Times New Roman" w:cs="Times New Roman"/>
          <w:color w:val="auto"/>
          <w:sz w:val="28"/>
          <w:szCs w:val="28"/>
        </w:rPr>
        <w:t>Конышевском</w:t>
      </w:r>
      <w:proofErr w:type="spellEnd"/>
      <w:r w:rsidRPr="00FC2625">
        <w:rPr>
          <w:rFonts w:ascii="Times New Roman" w:hAnsi="Times New Roman" w:cs="Times New Roman"/>
          <w:color w:val="auto"/>
          <w:sz w:val="28"/>
          <w:szCs w:val="28"/>
        </w:rPr>
        <w:t xml:space="preserve"> районе</w:t>
      </w:r>
      <w:r w:rsidRPr="00FC2625">
        <w:rPr>
          <w:rFonts w:ascii="Times New Roman" w:hAnsi="Times New Roman"/>
          <w:color w:val="auto"/>
          <w:sz w:val="28"/>
          <w:szCs w:val="28"/>
        </w:rPr>
        <w:t>. Ввод в эксплуатацию</w:t>
      </w:r>
      <w:r w:rsidRPr="00FC2625">
        <w:rPr>
          <w:rFonts w:ascii="Times New Roman" w:hAnsi="Times New Roman" w:cs="Times New Roman"/>
          <w:color w:val="auto"/>
          <w:sz w:val="28"/>
          <w:szCs w:val="28"/>
        </w:rPr>
        <w:t xml:space="preserve"> свинокомплексов запланирован в 2019 году.</w:t>
      </w:r>
    </w:p>
    <w:p w:rsidR="007F3A65" w:rsidRPr="00D463E2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625">
        <w:rPr>
          <w:rFonts w:ascii="Times New Roman" w:hAnsi="Times New Roman" w:cs="Times New Roman"/>
          <w:color w:val="auto"/>
          <w:sz w:val="28"/>
          <w:szCs w:val="28"/>
        </w:rPr>
        <w:t>Кроме того, ООО «</w:t>
      </w:r>
      <w:proofErr w:type="spellStart"/>
      <w:r w:rsidRPr="00FC2625">
        <w:rPr>
          <w:rFonts w:ascii="Times New Roman" w:hAnsi="Times New Roman" w:cs="Times New Roman"/>
          <w:color w:val="auto"/>
          <w:sz w:val="28"/>
          <w:szCs w:val="28"/>
        </w:rPr>
        <w:t>Агропромкомплектация-Курск</w:t>
      </w:r>
      <w:proofErr w:type="spellEnd"/>
      <w:r w:rsidRPr="00FC2625">
        <w:rPr>
          <w:rFonts w:ascii="Times New Roman" w:hAnsi="Times New Roman" w:cs="Times New Roman"/>
          <w:color w:val="auto"/>
          <w:sz w:val="28"/>
          <w:szCs w:val="28"/>
        </w:rPr>
        <w:t xml:space="preserve">» в Железногорском районе </w:t>
      </w:r>
      <w:r w:rsidRPr="00D463E2">
        <w:rPr>
          <w:rFonts w:ascii="Times New Roman" w:hAnsi="Times New Roman" w:cs="Times New Roman"/>
          <w:color w:val="auto"/>
          <w:sz w:val="28"/>
          <w:szCs w:val="28"/>
        </w:rPr>
        <w:t>приступило к строительству животноводческого комплекса молочного направления на 6000 голов КРС с пунктом по приемке и первичной переработке молока.</w:t>
      </w:r>
    </w:p>
    <w:p w:rsidR="007F3A65" w:rsidRPr="00D463E2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3E2">
        <w:rPr>
          <w:rFonts w:ascii="Times New Roman" w:hAnsi="Times New Roman" w:cs="Times New Roman"/>
          <w:sz w:val="28"/>
          <w:szCs w:val="28"/>
        </w:rPr>
        <w:t xml:space="preserve">Агропромышленным холдингом «Мираторг» реализован инвестиционный проект по производству «розовой телятины» в </w:t>
      </w:r>
      <w:proofErr w:type="spellStart"/>
      <w:r w:rsidRPr="00D463E2">
        <w:rPr>
          <w:rFonts w:ascii="Times New Roman" w:hAnsi="Times New Roman" w:cs="Times New Roman"/>
          <w:sz w:val="28"/>
          <w:szCs w:val="28"/>
        </w:rPr>
        <w:t>Суджанском</w:t>
      </w:r>
      <w:proofErr w:type="spellEnd"/>
      <w:r w:rsidRPr="00D463E2">
        <w:rPr>
          <w:rFonts w:ascii="Times New Roman" w:hAnsi="Times New Roman" w:cs="Times New Roman"/>
          <w:sz w:val="28"/>
          <w:szCs w:val="28"/>
        </w:rPr>
        <w:t xml:space="preserve"> районе; </w:t>
      </w:r>
      <w:r w:rsidRPr="00D463E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D463E2">
        <w:rPr>
          <w:rFonts w:ascii="Times New Roman" w:hAnsi="Times New Roman" w:cs="Times New Roman"/>
          <w:color w:val="auto"/>
          <w:sz w:val="28"/>
          <w:szCs w:val="28"/>
        </w:rPr>
        <w:t>Фатежском</w:t>
      </w:r>
      <w:proofErr w:type="spellEnd"/>
      <w:r w:rsidRPr="00D463E2">
        <w:rPr>
          <w:rFonts w:ascii="Times New Roman" w:hAnsi="Times New Roman" w:cs="Times New Roman"/>
          <w:color w:val="auto"/>
          <w:sz w:val="28"/>
          <w:szCs w:val="28"/>
        </w:rPr>
        <w:t xml:space="preserve"> районе введен в эксплуатацию комплекс по индустриальному производству ягнятины. </w:t>
      </w:r>
    </w:p>
    <w:p w:rsidR="007F3A65" w:rsidRPr="00D463E2" w:rsidRDefault="007F3A65" w:rsidP="007F3A6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6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мае 2018 года ООО «Грибная радуга» в Курском районе запущена вторая очередь инвестиционного проекта с удвоением мощности производства грибов до 10,0 тыс. тонн в год. Ведется строительство третьей очереди. Производство грибов будет доведено до 17 тыс. тонн, что позволит на 50 % закрыть потребности российского рынка в данной продукции. </w:t>
      </w:r>
    </w:p>
    <w:p w:rsidR="007F3A65" w:rsidRPr="00FC2625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3E2">
        <w:rPr>
          <w:rFonts w:ascii="Times New Roman" w:hAnsi="Times New Roman" w:cs="Times New Roman"/>
          <w:color w:val="auto"/>
          <w:sz w:val="28"/>
          <w:szCs w:val="28"/>
        </w:rPr>
        <w:t xml:space="preserve">В текущем году  </w:t>
      </w:r>
      <w:r w:rsidR="00A72220">
        <w:rPr>
          <w:rFonts w:ascii="Times New Roman" w:hAnsi="Times New Roman" w:cs="Times New Roman"/>
          <w:color w:val="auto"/>
          <w:sz w:val="28"/>
          <w:szCs w:val="28"/>
        </w:rPr>
        <w:t>завершится строительство</w:t>
      </w:r>
      <w:r w:rsidRPr="00D463E2">
        <w:rPr>
          <w:rFonts w:ascii="Times New Roman" w:hAnsi="Times New Roman" w:cs="Times New Roman"/>
          <w:color w:val="auto"/>
          <w:sz w:val="28"/>
          <w:szCs w:val="28"/>
        </w:rPr>
        <w:t xml:space="preserve"> молочного комплекса на 1200 голов КРС в ОО</w:t>
      </w:r>
      <w:r w:rsidR="00A72220">
        <w:rPr>
          <w:rFonts w:ascii="Times New Roman" w:hAnsi="Times New Roman" w:cs="Times New Roman"/>
          <w:color w:val="auto"/>
          <w:sz w:val="28"/>
          <w:szCs w:val="28"/>
        </w:rPr>
        <w:t>О «</w:t>
      </w:r>
      <w:proofErr w:type="spellStart"/>
      <w:r w:rsidR="00A72220">
        <w:rPr>
          <w:rFonts w:ascii="Times New Roman" w:hAnsi="Times New Roman" w:cs="Times New Roman"/>
          <w:color w:val="auto"/>
          <w:sz w:val="28"/>
          <w:szCs w:val="28"/>
        </w:rPr>
        <w:t>Псельское</w:t>
      </w:r>
      <w:proofErr w:type="spellEnd"/>
      <w:r w:rsidR="00A72220">
        <w:rPr>
          <w:rFonts w:ascii="Times New Roman" w:hAnsi="Times New Roman" w:cs="Times New Roman"/>
          <w:color w:val="auto"/>
          <w:sz w:val="28"/>
          <w:szCs w:val="28"/>
        </w:rPr>
        <w:t>» Беловского района и</w:t>
      </w:r>
      <w:r w:rsidRPr="00D463E2">
        <w:rPr>
          <w:rFonts w:ascii="Times New Roman" w:hAnsi="Times New Roman" w:cs="Times New Roman"/>
          <w:color w:val="auto"/>
          <w:sz w:val="28"/>
          <w:szCs w:val="28"/>
        </w:rPr>
        <w:t xml:space="preserve"> коровника с доильным залом на 876 голов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2625">
        <w:rPr>
          <w:rFonts w:ascii="Times New Roman" w:hAnsi="Times New Roman" w:cs="Times New Roman"/>
          <w:color w:val="auto"/>
          <w:sz w:val="28"/>
          <w:szCs w:val="28"/>
        </w:rPr>
        <w:t xml:space="preserve">ООО «Молочник» </w:t>
      </w:r>
      <w:proofErr w:type="spellStart"/>
      <w:r w:rsidRPr="00FC2625">
        <w:rPr>
          <w:rFonts w:ascii="Times New Roman" w:hAnsi="Times New Roman" w:cs="Times New Roman"/>
          <w:color w:val="auto"/>
          <w:sz w:val="28"/>
          <w:szCs w:val="28"/>
        </w:rPr>
        <w:t>Большесолдатского</w:t>
      </w:r>
      <w:proofErr w:type="spellEnd"/>
      <w:r w:rsidRPr="00FC2625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7F3A65" w:rsidRPr="000C672F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2F">
        <w:rPr>
          <w:rFonts w:ascii="Times New Roman" w:hAnsi="Times New Roman" w:cs="Times New Roman"/>
          <w:color w:val="auto"/>
          <w:sz w:val="28"/>
          <w:szCs w:val="28"/>
        </w:rPr>
        <w:t xml:space="preserve">В 2018 году намечено произвести: 4,2 млн. тонн зерна (83,4 % к 2017 году), 4,5 млн. тонн сахарной свеклы (81,0 % к 2017 году), 544 тыс. тонн скота и птицы </w:t>
      </w:r>
      <w:r w:rsidRPr="000C672F">
        <w:rPr>
          <w:rFonts w:ascii="Times New Roman" w:hAnsi="Times New Roman" w:cs="Times New Roman"/>
          <w:sz w:val="28"/>
          <w:szCs w:val="28"/>
        </w:rPr>
        <w:t>(104,3 % к 2017 году)</w:t>
      </w:r>
      <w:r w:rsidRPr="000C672F">
        <w:rPr>
          <w:rFonts w:ascii="Times New Roman" w:hAnsi="Times New Roman" w:cs="Times New Roman"/>
          <w:color w:val="auto"/>
          <w:sz w:val="28"/>
          <w:szCs w:val="28"/>
        </w:rPr>
        <w:t>, 285,8 тыс. тонн молока (99,6 % к 2017 году).</w:t>
      </w:r>
    </w:p>
    <w:p w:rsidR="007F3A65" w:rsidRPr="00C1575E" w:rsidRDefault="007F3A65" w:rsidP="007F3A6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72F">
        <w:rPr>
          <w:rFonts w:ascii="Times New Roman" w:hAnsi="Times New Roman" w:cs="Times New Roman"/>
          <w:sz w:val="28"/>
          <w:szCs w:val="28"/>
        </w:rPr>
        <w:t>По оценке</w:t>
      </w:r>
      <w:r w:rsidRPr="009B4A6C">
        <w:rPr>
          <w:rFonts w:ascii="Times New Roman" w:hAnsi="Times New Roman" w:cs="Times New Roman"/>
          <w:sz w:val="28"/>
          <w:szCs w:val="28"/>
        </w:rPr>
        <w:t xml:space="preserve"> 2018 года ожидается произвести продукции сельского </w:t>
      </w:r>
      <w:r w:rsidRPr="00CC68D6">
        <w:rPr>
          <w:rFonts w:ascii="Times New Roman" w:hAnsi="Times New Roman" w:cs="Times New Roman"/>
          <w:sz w:val="28"/>
          <w:szCs w:val="28"/>
        </w:rPr>
        <w:t>хозяйства в объеме 123,2 млрд.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75E">
        <w:rPr>
          <w:rFonts w:ascii="Times New Roman" w:hAnsi="Times New Roman" w:cs="Times New Roman"/>
          <w:color w:val="auto"/>
          <w:sz w:val="28"/>
          <w:szCs w:val="28"/>
        </w:rPr>
        <w:t>С учетом рекордного производства зерна и сахарной свеклы в 2017 году индекс производства продукции сельского хозяйства в хозяйствах всех категорий в 2018 году ожидается на уровне 93,5 %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(2017 год – 107 %)</w:t>
      </w:r>
      <w:r w:rsidRPr="00C157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3A65" w:rsidRPr="00A65F0D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F0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продолжается работа по созданию благоприятных условий для улучшения </w:t>
      </w:r>
      <w:r w:rsidRPr="00A65F0D">
        <w:rPr>
          <w:rFonts w:ascii="Times New Roman" w:hAnsi="Times New Roman" w:cs="Times New Roman"/>
          <w:i/>
          <w:color w:val="auto"/>
          <w:sz w:val="28"/>
          <w:szCs w:val="28"/>
        </w:rPr>
        <w:t>инвестиционной привлекательности</w:t>
      </w:r>
      <w:r w:rsidRPr="00A65F0D">
        <w:rPr>
          <w:rFonts w:ascii="Times New Roman" w:hAnsi="Times New Roman" w:cs="Times New Roman"/>
          <w:color w:val="auto"/>
          <w:sz w:val="28"/>
          <w:szCs w:val="28"/>
        </w:rPr>
        <w:t>: совершенствуется нормативно-правовая  база, реализуются мероприятия Инвестиционной стратегии региона до 2025 года и подпрограммы «Создание благоприятных условий для привлечения инвестиций в экономику Курской области» государственной программы «Развитие экономики и внешних связей Курской области», действуют Совет по улучшению инвестиционного климата и АО «Агентство по привлечению инвестиций Курской области».</w:t>
      </w:r>
    </w:p>
    <w:p w:rsidR="007F3A65" w:rsidRPr="006F73D5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65F0D">
        <w:rPr>
          <w:rFonts w:ascii="Times New Roman" w:hAnsi="Times New Roman" w:cs="Times New Roman"/>
          <w:color w:val="auto"/>
          <w:sz w:val="28"/>
          <w:szCs w:val="28"/>
        </w:rPr>
        <w:t xml:space="preserve">В целом по области по итогам </w:t>
      </w:r>
      <w:r w:rsidR="00636199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A65F0D">
        <w:rPr>
          <w:rFonts w:ascii="Times New Roman" w:hAnsi="Times New Roman" w:cs="Times New Roman"/>
          <w:color w:val="auto"/>
          <w:sz w:val="28"/>
          <w:szCs w:val="28"/>
        </w:rPr>
        <w:t xml:space="preserve"> 2018 года инвестиции в основной капитал освоены в </w:t>
      </w:r>
      <w:r w:rsidRPr="00573BF2">
        <w:rPr>
          <w:rFonts w:ascii="Times New Roman" w:hAnsi="Times New Roman" w:cs="Times New Roman"/>
          <w:color w:val="auto"/>
          <w:sz w:val="28"/>
          <w:szCs w:val="28"/>
        </w:rPr>
        <w:t xml:space="preserve">объеме </w:t>
      </w:r>
      <w:r w:rsidR="00636199">
        <w:rPr>
          <w:rFonts w:ascii="Times New Roman" w:hAnsi="Times New Roman" w:cs="Times New Roman"/>
          <w:color w:val="auto"/>
          <w:sz w:val="28"/>
          <w:szCs w:val="28"/>
        </w:rPr>
        <w:t>68,3</w:t>
      </w:r>
      <w:r w:rsidRPr="00573BF2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; и</w:t>
      </w:r>
      <w:r w:rsidRPr="00573BF2">
        <w:rPr>
          <w:rFonts w:ascii="Times New Roman" w:hAnsi="Times New Roman" w:cs="Times New Roman"/>
          <w:color w:val="auto"/>
          <w:sz w:val="28"/>
          <w:szCs w:val="28"/>
        </w:rPr>
        <w:t>ндекс физического объема инвестиций 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Pr="00573BF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636199">
        <w:rPr>
          <w:rFonts w:ascii="Times New Roman" w:hAnsi="Times New Roman" w:cs="Times New Roman"/>
          <w:color w:val="auto"/>
          <w:sz w:val="28"/>
          <w:szCs w:val="28"/>
        </w:rPr>
        <w:t>25,5</w:t>
      </w:r>
      <w:r w:rsidRPr="00573BF2">
        <w:rPr>
          <w:rFonts w:ascii="Times New Roman" w:hAnsi="Times New Roman" w:cs="Times New Roman"/>
          <w:color w:val="auto"/>
          <w:sz w:val="28"/>
          <w:szCs w:val="28"/>
        </w:rPr>
        <w:t xml:space="preserve"> % к соответствующему периоду 2017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3A65" w:rsidRPr="00573BF2" w:rsidRDefault="007F3A65" w:rsidP="007F3A65">
      <w:pPr>
        <w:pStyle w:val="210"/>
        <w:widowControl w:val="0"/>
        <w:ind w:right="-8"/>
        <w:rPr>
          <w:szCs w:val="28"/>
        </w:rPr>
      </w:pPr>
      <w:r w:rsidRPr="00FA7027">
        <w:rPr>
          <w:szCs w:val="28"/>
        </w:rPr>
        <w:t>По оценке года ожидается освоение 109,0 млрд. рублей инвестиций в основной капитал (103,6 % к уровню 2017 года</w:t>
      </w:r>
      <w:r>
        <w:rPr>
          <w:szCs w:val="28"/>
        </w:rPr>
        <w:t xml:space="preserve"> в сопоставимых ценах</w:t>
      </w:r>
      <w:r w:rsidRPr="00FA7027">
        <w:rPr>
          <w:szCs w:val="28"/>
        </w:rPr>
        <w:t>).</w:t>
      </w:r>
    </w:p>
    <w:p w:rsidR="0023351A" w:rsidRPr="0023351A" w:rsidRDefault="0023351A" w:rsidP="00233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1A">
        <w:rPr>
          <w:rFonts w:ascii="Times New Roman" w:hAnsi="Times New Roman" w:cs="Times New Roman"/>
          <w:sz w:val="28"/>
          <w:szCs w:val="28"/>
        </w:rPr>
        <w:t>Работы по виду деятельности «Строительство» в январе-октябре 2018 года выполнены в объеме 40,7 млрд. рублей (102,4 % к соответствующему периоду 2017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1A">
        <w:rPr>
          <w:rFonts w:ascii="Times New Roman" w:hAnsi="Times New Roman" w:cs="Times New Roman"/>
          <w:sz w:val="28"/>
          <w:szCs w:val="28"/>
        </w:rPr>
        <w:t>Сданы в эксплуатацию жилые дома площадью 355,1 тыс. кв. метров (90,3 % к  соответствующему периоду прошлого года).</w:t>
      </w:r>
    </w:p>
    <w:p w:rsidR="0023351A" w:rsidRPr="0023351A" w:rsidRDefault="0023351A" w:rsidP="002335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1A">
        <w:rPr>
          <w:rFonts w:ascii="Times New Roman" w:hAnsi="Times New Roman" w:cs="Times New Roman"/>
          <w:sz w:val="28"/>
          <w:szCs w:val="28"/>
        </w:rPr>
        <w:t xml:space="preserve">Продолжается строительство социальных объектов на территории области: средних общеобразовательных школ по проспекту В.Клыкова в г.Курске и в г.Железногорске, III пускового комплекса Курского областного онкологического диспансера, трех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, Курском и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 районах, физкультурно-оздоровительных комплексов в Беловском,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Суджанском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 </w:t>
      </w:r>
      <w:r w:rsidRPr="0023351A">
        <w:rPr>
          <w:rFonts w:ascii="Times New Roman" w:hAnsi="Times New Roman" w:cs="Times New Roman"/>
          <w:sz w:val="28"/>
          <w:szCs w:val="28"/>
        </w:rPr>
        <w:lastRenderedPageBreak/>
        <w:t xml:space="preserve">районах и городах Курске, Льгове, Рыльске. В текущем году введены в эксплуатацию детский сад и ФАП в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 районе, ФОК в </w:t>
      </w:r>
      <w:proofErr w:type="spellStart"/>
      <w:r w:rsidRPr="0023351A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Pr="0023351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F3A65" w:rsidRPr="00BE1CCC" w:rsidRDefault="007F3A65" w:rsidP="007F3A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BE1CCC">
        <w:rPr>
          <w:rFonts w:eastAsia="Arial Unicode MS"/>
          <w:sz w:val="28"/>
          <w:szCs w:val="28"/>
          <w:lang w:bidi="ru-RU"/>
        </w:rPr>
        <w:t>За январь-сентябрь 2018 года введено 141,4 км газовых сетей (82,3 % к январю-сентябрю 2017 года).</w:t>
      </w:r>
    </w:p>
    <w:p w:rsidR="007F3A65" w:rsidRPr="00CE51DD" w:rsidRDefault="007F3A65" w:rsidP="007F3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</w:rPr>
        <w:t>По итогам 2018 года уровень газификации Курской области ожидается в объеме 95,6 %, в сельской местности – 91,7 %, при этом газифицированы природным газом будут все центральные усадьбы муниципальных образований Курской области.</w:t>
      </w:r>
      <w:r w:rsidRPr="00CE5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65" w:rsidRPr="000E48D3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FA7027">
        <w:rPr>
          <w:rFonts w:ascii="Times New Roman" w:hAnsi="Times New Roman" w:cs="Times New Roman"/>
          <w:sz w:val="28"/>
          <w:szCs w:val="28"/>
        </w:rPr>
        <w:t>По оценке 2018 года ожидается выполнение объемов работ по виду деятельности «Строительство» на уровне 51,3 млрд. рублей (100 % к уровню 2017 года).</w:t>
      </w:r>
      <w:r w:rsidRPr="00FA7027">
        <w:rPr>
          <w:rFonts w:ascii="Times New Roman" w:hAnsi="Times New Roman" w:cs="Times New Roman"/>
          <w:color w:val="auto"/>
          <w:sz w:val="28"/>
          <w:szCs w:val="28"/>
        </w:rPr>
        <w:t xml:space="preserve"> Запланировано сдать в эксплуатацию 600 тыс. кв. метров жилых домов (101,6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7027">
        <w:rPr>
          <w:rFonts w:ascii="Times New Roman" w:hAnsi="Times New Roman" w:cs="Times New Roman"/>
          <w:color w:val="auto"/>
          <w:sz w:val="28"/>
          <w:szCs w:val="28"/>
        </w:rPr>
        <w:t>%) и ввести</w:t>
      </w:r>
      <w:r w:rsidRPr="00FA702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в эксплуатацию 250 км газораспределительных сетей.</w:t>
      </w:r>
      <w:r w:rsidRPr="000E48D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</w:p>
    <w:p w:rsidR="007F3A65" w:rsidRPr="001D50ED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C59">
        <w:rPr>
          <w:rFonts w:ascii="Times New Roman" w:hAnsi="Times New Roman" w:cs="Times New Roman"/>
          <w:color w:val="auto"/>
          <w:sz w:val="28"/>
          <w:szCs w:val="28"/>
        </w:rPr>
        <w:t>В 2018 году</w:t>
      </w:r>
      <w:r w:rsidRPr="00ED1C5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ED1C5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D1C59">
        <w:rPr>
          <w:rFonts w:ascii="Times New Roman" w:hAnsi="Times New Roman" w:cs="Times New Roman"/>
          <w:i/>
          <w:color w:val="auto"/>
          <w:sz w:val="28"/>
          <w:szCs w:val="28"/>
        </w:rPr>
        <w:t>потребительском рынке</w:t>
      </w:r>
      <w:r w:rsidRPr="00ED1C59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наблюдается рост оборота розничной торговли 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увеличения </w:t>
      </w:r>
      <w:r w:rsidRPr="00ED1C59">
        <w:rPr>
          <w:rFonts w:ascii="Times New Roman" w:hAnsi="Times New Roman" w:cs="Times New Roman"/>
          <w:color w:val="auto"/>
          <w:sz w:val="28"/>
          <w:szCs w:val="28"/>
        </w:rPr>
        <w:t xml:space="preserve">потребительского спроса на непродовольственные товары, в том числе приобретения </w:t>
      </w:r>
      <w:r w:rsidRPr="001D50ED">
        <w:rPr>
          <w:rFonts w:ascii="Times New Roman" w:hAnsi="Times New Roman" w:cs="Times New Roman"/>
          <w:color w:val="auto"/>
          <w:sz w:val="28"/>
          <w:szCs w:val="28"/>
        </w:rPr>
        <w:t xml:space="preserve">населением товаров длительного пользования, а также продажи легковых автомобилей. </w:t>
      </w:r>
    </w:p>
    <w:p w:rsidR="00BE1CCC" w:rsidRPr="00BE1CCC" w:rsidRDefault="00BE1CCC" w:rsidP="00BE1CC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E1CCC">
        <w:rPr>
          <w:rFonts w:ascii="Times New Roman" w:hAnsi="Times New Roman" w:cs="Times New Roman"/>
          <w:sz w:val="28"/>
          <w:szCs w:val="28"/>
        </w:rPr>
        <w:t xml:space="preserve">В январе-октябре 2018 года темп роста </w:t>
      </w:r>
      <w:r w:rsidRPr="00BE1CCC">
        <w:rPr>
          <w:rFonts w:ascii="Times New Roman" w:hAnsi="Times New Roman" w:cs="Times New Roman"/>
          <w:i/>
          <w:sz w:val="28"/>
          <w:szCs w:val="28"/>
        </w:rPr>
        <w:t>оборота розничной торговли</w:t>
      </w:r>
      <w:r w:rsidRPr="00BE1CCC">
        <w:rPr>
          <w:rFonts w:ascii="Times New Roman" w:hAnsi="Times New Roman" w:cs="Times New Roman"/>
          <w:sz w:val="28"/>
          <w:szCs w:val="28"/>
        </w:rPr>
        <w:t xml:space="preserve"> составил 104,7 % против 99,8 % в январе-октябре 2017 года.</w:t>
      </w:r>
    </w:p>
    <w:p w:rsidR="00BE1CCC" w:rsidRPr="00BE1CCC" w:rsidRDefault="00BE1CCC" w:rsidP="00BE1CCC">
      <w:pPr>
        <w:tabs>
          <w:tab w:val="left" w:pos="700"/>
        </w:tabs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</w:t>
      </w:r>
      <w:r w:rsidRPr="00BE1CCC">
        <w:rPr>
          <w:rFonts w:ascii="Times New Roman" w:hAnsi="Times New Roman" w:cs="Times New Roman"/>
          <w:sz w:val="28"/>
          <w:szCs w:val="28"/>
        </w:rPr>
        <w:t xml:space="preserve"> в области открыто и реконструировано 245 предприятий торговли, общественного питания и бытового обслуживания.</w:t>
      </w:r>
    </w:p>
    <w:p w:rsidR="00BE1CCC" w:rsidRPr="00BE1CCC" w:rsidRDefault="00BE1CCC" w:rsidP="00BE1CC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CCC">
        <w:rPr>
          <w:rFonts w:ascii="Times New Roman" w:hAnsi="Times New Roman" w:cs="Times New Roman"/>
          <w:i/>
          <w:sz w:val="28"/>
          <w:szCs w:val="28"/>
        </w:rPr>
        <w:t>Оборот общественного питания</w:t>
      </w:r>
      <w:r w:rsidRPr="00BE1CCC">
        <w:rPr>
          <w:rFonts w:ascii="Times New Roman" w:hAnsi="Times New Roman" w:cs="Times New Roman"/>
          <w:sz w:val="28"/>
          <w:szCs w:val="28"/>
        </w:rPr>
        <w:t xml:space="preserve"> в январе-октябре 2018 года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CC">
        <w:rPr>
          <w:rFonts w:ascii="Times New Roman" w:hAnsi="Times New Roman" w:cs="Times New Roman"/>
          <w:sz w:val="28"/>
          <w:szCs w:val="28"/>
        </w:rPr>
        <w:t>5,1 млрд. рублей с ростом на 3,3 % к январю-октябрю 2017 года.</w:t>
      </w:r>
    </w:p>
    <w:p w:rsidR="00BE1CCC" w:rsidRPr="00BE1CCC" w:rsidRDefault="00BE1CCC" w:rsidP="00BE1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i/>
          <w:sz w:val="28"/>
          <w:szCs w:val="28"/>
        </w:rPr>
        <w:t>Оказано платных услуг населению</w:t>
      </w:r>
      <w:r w:rsidRPr="00BE1CCC">
        <w:rPr>
          <w:rFonts w:ascii="Times New Roman" w:hAnsi="Times New Roman" w:cs="Times New Roman"/>
          <w:sz w:val="28"/>
          <w:szCs w:val="28"/>
        </w:rPr>
        <w:t xml:space="preserve"> области на сумму</w:t>
      </w:r>
      <w:r w:rsidRPr="00BE1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1CCC">
        <w:rPr>
          <w:rFonts w:ascii="Times New Roman" w:hAnsi="Times New Roman" w:cs="Times New Roman"/>
          <w:sz w:val="28"/>
          <w:szCs w:val="28"/>
        </w:rPr>
        <w:t xml:space="preserve">44,4 млрд. рублей со снижением на 0,1 % к январю-октябрю 2017 года. </w:t>
      </w:r>
    </w:p>
    <w:p w:rsidR="007F3A65" w:rsidRPr="001E32AC" w:rsidRDefault="007F3A65" w:rsidP="007F3A65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50ED">
        <w:rPr>
          <w:rFonts w:ascii="Times New Roman" w:hAnsi="Times New Roman" w:cs="Times New Roman"/>
          <w:color w:val="auto"/>
          <w:sz w:val="28"/>
          <w:szCs w:val="28"/>
        </w:rPr>
        <w:t>В Курской области в целях дальнейшего совершенствования</w:t>
      </w:r>
      <w:r w:rsidRPr="001E32AC">
        <w:rPr>
          <w:rFonts w:ascii="Times New Roman" w:hAnsi="Times New Roman" w:cs="Times New Roman"/>
          <w:color w:val="auto"/>
          <w:sz w:val="28"/>
          <w:szCs w:val="28"/>
        </w:rPr>
        <w:t xml:space="preserve"> торговой сферы деятельности реализуется Программа развития потребительского рынка Курской области на 2016-2020 годы.</w:t>
      </w:r>
    </w:p>
    <w:p w:rsidR="007F3A65" w:rsidRPr="006F73D5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F714A4">
        <w:rPr>
          <w:rFonts w:ascii="Times New Roman" w:hAnsi="Times New Roman" w:cs="Times New Roman"/>
          <w:color w:val="auto"/>
          <w:sz w:val="28"/>
          <w:szCs w:val="28"/>
        </w:rPr>
        <w:t>По оценке в 2018 году ожидается индекс физического объема  оборота розничной торговли на уровне 103,1 %, оборота общественного питания – 102,5 %, объема платных услуг - 100,0 %.</w:t>
      </w:r>
    </w:p>
    <w:p w:rsidR="00BD2DFA" w:rsidRPr="00BD2DFA" w:rsidRDefault="00BD2DFA" w:rsidP="00BD2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86">
        <w:rPr>
          <w:rFonts w:ascii="Times New Roman" w:hAnsi="Times New Roman" w:cs="Times New Roman"/>
          <w:i/>
          <w:sz w:val="28"/>
          <w:szCs w:val="28"/>
        </w:rPr>
        <w:t>Индекс потребительских цен на товары и услуги</w:t>
      </w:r>
      <w:r w:rsidRPr="00F93A86">
        <w:rPr>
          <w:rFonts w:ascii="Times New Roman" w:hAnsi="Times New Roman" w:cs="Times New Roman"/>
          <w:sz w:val="28"/>
          <w:szCs w:val="28"/>
        </w:rPr>
        <w:t xml:space="preserve"> в ноябре 2018 года к декабрю 2017 года составил</w:t>
      </w:r>
      <w:r w:rsidRPr="00F93A8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93A86">
        <w:rPr>
          <w:rFonts w:ascii="Times New Roman" w:hAnsi="Times New Roman" w:cs="Times New Roman"/>
          <w:sz w:val="28"/>
          <w:szCs w:val="28"/>
        </w:rPr>
        <w:t>104,62 % против</w:t>
      </w:r>
      <w:r w:rsidRPr="00F93A8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93A86">
        <w:rPr>
          <w:rFonts w:ascii="Times New Roman" w:hAnsi="Times New Roman" w:cs="Times New Roman"/>
          <w:sz w:val="28"/>
          <w:szCs w:val="28"/>
        </w:rPr>
        <w:t>101,41 % в ноябре 2017 года, в том числе на: продовольственные товары –</w:t>
      </w:r>
      <w:r w:rsidRPr="00F93A8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93A86">
        <w:rPr>
          <w:rFonts w:ascii="Times New Roman" w:hAnsi="Times New Roman" w:cs="Times New Roman"/>
          <w:sz w:val="28"/>
          <w:szCs w:val="28"/>
        </w:rPr>
        <w:t xml:space="preserve">104,56 %  (в ноябре 2017 года – 99,47 %), непродовольственные товары – 104,57 % (в ноябре 2017 года – 102,68 %), платные услуги – 104,74 % (в ноябре 2017 года – </w:t>
      </w:r>
      <w:r w:rsidR="00A722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3A86">
        <w:rPr>
          <w:rFonts w:ascii="Times New Roman" w:hAnsi="Times New Roman" w:cs="Times New Roman"/>
          <w:sz w:val="28"/>
          <w:szCs w:val="28"/>
        </w:rPr>
        <w:t>102,49 %).</w:t>
      </w:r>
      <w:proofErr w:type="gramEnd"/>
    </w:p>
    <w:p w:rsidR="007F3A65" w:rsidRPr="001D50ED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88A">
        <w:rPr>
          <w:rFonts w:ascii="Times New Roman" w:hAnsi="Times New Roman" w:cs="Times New Roman"/>
          <w:color w:val="auto"/>
          <w:sz w:val="28"/>
          <w:szCs w:val="28"/>
        </w:rPr>
        <w:t xml:space="preserve">По оценке 2018 года индекс цен на потребительские товары и услуги (декабрь к декабрю) ожидается </w:t>
      </w:r>
      <w:r w:rsidRPr="001D50ED">
        <w:rPr>
          <w:rFonts w:ascii="Times New Roman" w:hAnsi="Times New Roman" w:cs="Times New Roman"/>
          <w:color w:val="auto"/>
          <w:sz w:val="28"/>
          <w:szCs w:val="28"/>
        </w:rPr>
        <w:t>на уровне 104,75 %.</w:t>
      </w:r>
    </w:p>
    <w:p w:rsidR="00440792" w:rsidRPr="001D3412" w:rsidRDefault="00440792" w:rsidP="00440792">
      <w:pPr>
        <w:pStyle w:val="220"/>
        <w:ind w:left="0" w:firstLine="720"/>
      </w:pPr>
      <w:r w:rsidRPr="002C5539">
        <w:t xml:space="preserve">В январе-сентябре 2018 года организациями области (без субъектов малого предпринимательства, банков, страховых и бюджетных организаций) получен </w:t>
      </w:r>
      <w:r w:rsidRPr="00440792">
        <w:rPr>
          <w:i/>
        </w:rPr>
        <w:t xml:space="preserve">положительный финансовый </w:t>
      </w:r>
      <w:r w:rsidRPr="00440792">
        <w:rPr>
          <w:i/>
        </w:rPr>
        <w:lastRenderedPageBreak/>
        <w:t>результат</w:t>
      </w:r>
      <w:r w:rsidRPr="002C5539">
        <w:t xml:space="preserve"> в сумме </w:t>
      </w:r>
      <w:r w:rsidRPr="002C5539">
        <w:rPr>
          <w:rFonts w:ascii="Times New Roman" w:hAnsi="Times New Roman"/>
          <w:szCs w:val="28"/>
        </w:rPr>
        <w:t xml:space="preserve">в сумме </w:t>
      </w:r>
      <w:r w:rsidRPr="002C5539">
        <w:rPr>
          <w:rFonts w:ascii="Times New Roman" w:hAnsi="Times New Roman"/>
        </w:rPr>
        <w:t xml:space="preserve">53,5 млрд. рублей (119,8 % к январю-сентябрю 2017 года), в том числе </w:t>
      </w:r>
      <w:r w:rsidRPr="002C5539">
        <w:rPr>
          <w:rFonts w:ascii="Times New Roman" w:hAnsi="Times New Roman"/>
          <w:szCs w:val="28"/>
        </w:rPr>
        <w:t xml:space="preserve">прибыль прибыльных организаций составила 57,6 млрд. рублей (120,5 % </w:t>
      </w:r>
      <w:r w:rsidRPr="002C5539">
        <w:rPr>
          <w:rFonts w:ascii="Times New Roman" w:hAnsi="Times New Roman"/>
        </w:rPr>
        <w:t>к январю-сентябрю 2017 года)</w:t>
      </w:r>
      <w:r w:rsidRPr="002C5539">
        <w:rPr>
          <w:rFonts w:ascii="Times New Roman" w:hAnsi="Times New Roman"/>
          <w:color w:val="0070C0"/>
          <w:szCs w:val="28"/>
        </w:rPr>
        <w:t xml:space="preserve">. </w:t>
      </w:r>
      <w:r w:rsidRPr="001D3412">
        <w:t xml:space="preserve">Доля прибыльных организаций в целом по области составила </w:t>
      </w:r>
      <w:r w:rsidRPr="001D3412">
        <w:rPr>
          <w:rFonts w:ascii="Times New Roman" w:hAnsi="Times New Roman"/>
        </w:rPr>
        <w:t>72,6</w:t>
      </w:r>
      <w:r w:rsidRPr="001D3412">
        <w:t>% (за январь-сентябрь 201</w:t>
      </w:r>
      <w:r w:rsidRPr="001D3412">
        <w:rPr>
          <w:rFonts w:ascii="Times New Roman" w:hAnsi="Times New Roman"/>
        </w:rPr>
        <w:t>7</w:t>
      </w:r>
      <w:r w:rsidRPr="001D3412">
        <w:t xml:space="preserve"> года – </w:t>
      </w:r>
      <w:r w:rsidRPr="001D3412">
        <w:rPr>
          <w:rFonts w:ascii="Times New Roman" w:hAnsi="Times New Roman"/>
        </w:rPr>
        <w:t>70,3</w:t>
      </w:r>
      <w:r w:rsidRPr="001D3412">
        <w:t xml:space="preserve"> %). </w:t>
      </w:r>
    </w:p>
    <w:p w:rsidR="007F3A65" w:rsidRPr="00963A4A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0792">
        <w:rPr>
          <w:rFonts w:ascii="Times New Roman" w:hAnsi="Times New Roman" w:cs="Times New Roman"/>
          <w:color w:val="auto"/>
          <w:sz w:val="28"/>
          <w:szCs w:val="28"/>
        </w:rPr>
        <w:t>Исходя из текущей ситуации в реальном секторе экономики области положительный финансовый результат в целом по области в 2018 году по полному кругу организаций оценивается</w:t>
      </w:r>
      <w:proofErr w:type="gramEnd"/>
      <w:r w:rsidRPr="00440792">
        <w:rPr>
          <w:rFonts w:ascii="Times New Roman" w:hAnsi="Times New Roman" w:cs="Times New Roman"/>
          <w:color w:val="auto"/>
          <w:sz w:val="28"/>
          <w:szCs w:val="28"/>
        </w:rPr>
        <w:t xml:space="preserve"> в сумме 76,3 млрд. рублей                 (119,9 % к 2017 году), в том числе прибыль прибыльных организаций – 82,6 млрд. рублей, что составит 106,8 % к уровню 2017 года. Положительная тенденция роста показателей в 2018 году обеспечена, в основном, увеличением прибыли в «Добыче полезных ископаемых» за счет роста цен на железорудную продукцию и в «Обрабатывающих производствах» за счет роста прибыли в «Производстве лекарственных средств и материалов, применяемых в медицинских целях».</w:t>
      </w:r>
    </w:p>
    <w:p w:rsidR="006462D8" w:rsidRPr="006462D8" w:rsidRDefault="006462D8" w:rsidP="00646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D8">
        <w:rPr>
          <w:rFonts w:ascii="Times New Roman" w:hAnsi="Times New Roman" w:cs="Times New Roman"/>
          <w:i/>
          <w:sz w:val="28"/>
          <w:szCs w:val="28"/>
        </w:rPr>
        <w:t>Среднемесячная начисленная заработная плата</w:t>
      </w:r>
      <w:r w:rsidRPr="006462D8">
        <w:rPr>
          <w:rFonts w:ascii="Times New Roman" w:hAnsi="Times New Roman" w:cs="Times New Roman"/>
          <w:sz w:val="28"/>
          <w:szCs w:val="28"/>
        </w:rPr>
        <w:t xml:space="preserve"> в целом по области за январь-</w:t>
      </w:r>
      <w:r w:rsidR="00BA039B">
        <w:rPr>
          <w:rFonts w:ascii="Times New Roman" w:hAnsi="Times New Roman" w:cs="Times New Roman"/>
          <w:sz w:val="28"/>
          <w:szCs w:val="28"/>
        </w:rPr>
        <w:t>октябрь</w:t>
      </w:r>
      <w:r w:rsidRPr="006462D8">
        <w:rPr>
          <w:rFonts w:ascii="Times New Roman" w:hAnsi="Times New Roman" w:cs="Times New Roman"/>
          <w:sz w:val="28"/>
          <w:szCs w:val="28"/>
        </w:rPr>
        <w:t xml:space="preserve"> 2018 года составила 29</w:t>
      </w:r>
      <w:r w:rsidR="00BA039B">
        <w:rPr>
          <w:rFonts w:ascii="Times New Roman" w:hAnsi="Times New Roman" w:cs="Times New Roman"/>
          <w:sz w:val="28"/>
          <w:szCs w:val="28"/>
        </w:rPr>
        <w:t>237,6</w:t>
      </w:r>
      <w:r w:rsidRPr="006462D8">
        <w:rPr>
          <w:rFonts w:ascii="Times New Roman" w:hAnsi="Times New Roman" w:cs="Times New Roman"/>
          <w:sz w:val="28"/>
          <w:szCs w:val="28"/>
        </w:rPr>
        <w:t xml:space="preserve"> рублей с ростом на 10,3 % к январю-</w:t>
      </w:r>
      <w:r w:rsidR="00BA039B">
        <w:rPr>
          <w:rFonts w:ascii="Times New Roman" w:hAnsi="Times New Roman" w:cs="Times New Roman"/>
          <w:sz w:val="28"/>
          <w:szCs w:val="28"/>
        </w:rPr>
        <w:t>октябрю</w:t>
      </w:r>
      <w:r w:rsidRPr="006462D8">
        <w:rPr>
          <w:rFonts w:ascii="Times New Roman" w:hAnsi="Times New Roman" w:cs="Times New Roman"/>
          <w:sz w:val="28"/>
          <w:szCs w:val="28"/>
        </w:rPr>
        <w:t xml:space="preserve"> 2017 года; реальная заработная плата выросла на </w:t>
      </w:r>
      <w:r w:rsidR="00BA039B">
        <w:rPr>
          <w:rFonts w:ascii="Times New Roman" w:hAnsi="Times New Roman" w:cs="Times New Roman"/>
          <w:sz w:val="28"/>
          <w:szCs w:val="28"/>
        </w:rPr>
        <w:t>6,8</w:t>
      </w:r>
      <w:r w:rsidRPr="006462D8">
        <w:rPr>
          <w:rFonts w:ascii="Times New Roman" w:hAnsi="Times New Roman" w:cs="Times New Roman"/>
          <w:sz w:val="28"/>
          <w:szCs w:val="28"/>
        </w:rPr>
        <w:t xml:space="preserve"> % (в январе-</w:t>
      </w:r>
      <w:r w:rsidR="00BA039B">
        <w:rPr>
          <w:rFonts w:ascii="Times New Roman" w:hAnsi="Times New Roman" w:cs="Times New Roman"/>
          <w:sz w:val="28"/>
          <w:szCs w:val="28"/>
        </w:rPr>
        <w:t>октябре</w:t>
      </w:r>
      <w:r w:rsidRPr="006462D8">
        <w:rPr>
          <w:rFonts w:ascii="Times New Roman" w:hAnsi="Times New Roman" w:cs="Times New Roman"/>
          <w:sz w:val="28"/>
          <w:szCs w:val="28"/>
        </w:rPr>
        <w:t xml:space="preserve"> 2017 года - на 2,</w:t>
      </w:r>
      <w:r w:rsidR="00BA039B">
        <w:rPr>
          <w:rFonts w:ascii="Times New Roman" w:hAnsi="Times New Roman" w:cs="Times New Roman"/>
          <w:sz w:val="28"/>
          <w:szCs w:val="28"/>
        </w:rPr>
        <w:t>9</w:t>
      </w:r>
      <w:r w:rsidRPr="006462D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F3A65" w:rsidRPr="00DD172D" w:rsidRDefault="007F3A65" w:rsidP="007F3A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172D">
        <w:rPr>
          <w:rFonts w:ascii="Times New Roman" w:hAnsi="Times New Roman" w:cs="Times New Roman"/>
          <w:color w:val="auto"/>
          <w:sz w:val="28"/>
          <w:szCs w:val="28"/>
        </w:rPr>
        <w:t xml:space="preserve">По оценке 2018 года прогнозируется рост фонда начисленной заработной платы и среднемесячной номинальной начисленной заработной платы работников организаций на 8,6 % к уровню 2017 года;   среднесписочная численность работников организаций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сохранится </w:t>
      </w:r>
      <w:r w:rsidRPr="00DD172D">
        <w:rPr>
          <w:rFonts w:ascii="Times New Roman" w:hAnsi="Times New Roman" w:cs="Times New Roman"/>
          <w:color w:val="auto"/>
          <w:sz w:val="28"/>
          <w:szCs w:val="28"/>
        </w:rPr>
        <w:t xml:space="preserve">на уровне 2017 года. </w:t>
      </w:r>
    </w:p>
    <w:p w:rsidR="007F3A65" w:rsidRPr="00B243D2" w:rsidRDefault="007F3A65" w:rsidP="007F3A6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28F4">
        <w:rPr>
          <w:rFonts w:ascii="Times New Roman" w:hAnsi="Times New Roman" w:cs="Times New Roman"/>
          <w:color w:val="auto"/>
          <w:sz w:val="28"/>
          <w:szCs w:val="28"/>
        </w:rPr>
        <w:t xml:space="preserve">В целях улучшения </w:t>
      </w:r>
      <w:r w:rsidRPr="003B28F4">
        <w:rPr>
          <w:rFonts w:ascii="Times New Roman" w:hAnsi="Times New Roman" w:cs="Times New Roman"/>
          <w:i/>
          <w:color w:val="auto"/>
          <w:sz w:val="28"/>
          <w:szCs w:val="28"/>
        </w:rPr>
        <w:t>качества жизни населения</w:t>
      </w:r>
      <w:r w:rsidRPr="003B28F4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обеспечения прав работников на достойную оплату труда Администрацией Курской области ежегодно принимаются нормативные правовые акты, предусматривающие повышение уровня оплаты труда до установленных целевых показателей. </w:t>
      </w:r>
      <w:r w:rsidRPr="003B28F4">
        <w:rPr>
          <w:rFonts w:ascii="Times New Roman" w:hAnsi="Times New Roman" w:cs="Times New Roman"/>
          <w:sz w:val="28"/>
          <w:szCs w:val="28"/>
        </w:rPr>
        <w:t>В 2018 году работа по повышению уровня среднемесячной заработной платы проводится в рамках постановления Администрации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D67C73">
        <w:rPr>
          <w:rFonts w:ascii="Times New Roman" w:hAnsi="Times New Roman" w:cs="Times New Roman"/>
          <w:sz w:val="28"/>
          <w:szCs w:val="28"/>
        </w:rPr>
        <w:t>от 09.04.2018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3">
        <w:rPr>
          <w:rFonts w:ascii="Times New Roman" w:hAnsi="Times New Roman" w:cs="Times New Roman"/>
          <w:sz w:val="28"/>
          <w:szCs w:val="28"/>
        </w:rPr>
        <w:t>300-па.</w:t>
      </w:r>
    </w:p>
    <w:p w:rsidR="007F3A65" w:rsidRDefault="007F3A65" w:rsidP="006462D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019">
        <w:rPr>
          <w:rFonts w:ascii="Times New Roman" w:hAnsi="Times New Roman" w:cs="Times New Roman"/>
          <w:i/>
          <w:color w:val="auto"/>
          <w:sz w:val="28"/>
          <w:szCs w:val="28"/>
        </w:rPr>
        <w:t>Ситуация на рынке труда</w:t>
      </w:r>
      <w:r w:rsidRPr="00C54019">
        <w:rPr>
          <w:rFonts w:ascii="Times New Roman" w:hAnsi="Times New Roman" w:cs="Times New Roman"/>
          <w:color w:val="auto"/>
          <w:sz w:val="28"/>
          <w:szCs w:val="28"/>
        </w:rPr>
        <w:t xml:space="preserve"> области остается стабильной. </w:t>
      </w:r>
    </w:p>
    <w:p w:rsidR="007F3A65" w:rsidRPr="006462D8" w:rsidRDefault="007F3A65" w:rsidP="006462D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462D8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Положительная динамика достигается за счет эффективной реализации комплекса мер государственной программы Курской области «Содействие занятости населения Курской области». </w:t>
      </w:r>
    </w:p>
    <w:p w:rsidR="006462D8" w:rsidRDefault="006462D8" w:rsidP="006462D8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62D8">
        <w:rPr>
          <w:rFonts w:ascii="Times New Roman" w:hAnsi="Times New Roman" w:cs="Times New Roman"/>
          <w:sz w:val="28"/>
          <w:szCs w:val="28"/>
          <w:lang w:eastAsia="en-US"/>
        </w:rPr>
        <w:t xml:space="preserve">Численность безработных, зарегистрированных в органах службы занятости, на 1 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>декабря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 xml:space="preserve"> 2018 года уменьшилась по сравнению с соответствующей датой 2017 года на 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 xml:space="preserve">308 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>человек и составила 3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>743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> человек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>; уровень регистрируемой безработицы составил 0,6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 xml:space="preserve"> % (на 1 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>декабря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 xml:space="preserve"> 2017 года – 0,</w:t>
      </w:r>
      <w:r w:rsidR="00BA039B">
        <w:rPr>
          <w:rFonts w:ascii="Times New Roman" w:hAnsi="Times New Roman" w:cs="Times New Roman"/>
          <w:sz w:val="28"/>
          <w:szCs w:val="28"/>
          <w:lang w:eastAsia="en-US"/>
        </w:rPr>
        <w:t>71</w:t>
      </w:r>
      <w:r w:rsidRPr="006462D8">
        <w:rPr>
          <w:rFonts w:ascii="Times New Roman" w:hAnsi="Times New Roman" w:cs="Times New Roman"/>
          <w:sz w:val="28"/>
          <w:szCs w:val="28"/>
          <w:lang w:eastAsia="en-US"/>
        </w:rPr>
        <w:t xml:space="preserve"> %).</w:t>
      </w:r>
    </w:p>
    <w:p w:rsidR="00FC5891" w:rsidRPr="002760ED" w:rsidRDefault="00FC5891" w:rsidP="006462D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922" w:rsidRPr="00777634" w:rsidRDefault="008779BD" w:rsidP="00B659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5922" w:rsidRPr="00777634">
        <w:rPr>
          <w:rFonts w:ascii="Times New Roman" w:hAnsi="Times New Roman" w:cs="Times New Roman"/>
          <w:b/>
          <w:sz w:val="28"/>
          <w:szCs w:val="28"/>
        </w:rPr>
        <w:t>Определение вариантов внутренних условий и характеристик социально-экономического развития Курской области на долгосрочный период.</w:t>
      </w:r>
    </w:p>
    <w:p w:rsidR="00B65922" w:rsidRPr="007460C2" w:rsidRDefault="00230D16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а также последующая к</w:t>
      </w:r>
      <w:r w:rsidR="00B65922" w:rsidRPr="007460C2">
        <w:rPr>
          <w:rFonts w:ascii="Times New Roman" w:hAnsi="Times New Roman" w:cs="Times New Roman"/>
          <w:sz w:val="28"/>
          <w:szCs w:val="28"/>
        </w:rPr>
        <w:t xml:space="preserve">орректировка прогноза </w:t>
      </w:r>
      <w:r w:rsidR="00B65922" w:rsidRPr="007460C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в трех вариантах с учетом </w:t>
      </w:r>
      <w:r w:rsidR="00B4530B">
        <w:rPr>
          <w:rFonts w:ascii="Times New Roman" w:hAnsi="Times New Roman" w:cs="Times New Roman"/>
          <w:sz w:val="28"/>
          <w:szCs w:val="28"/>
        </w:rPr>
        <w:t>изменений внутренних и внешних условий, тенденций развития российской экономики, а также итогов социально-экономического развития Курской области</w:t>
      </w:r>
      <w:r w:rsidR="00B65922" w:rsidRPr="007460C2">
        <w:rPr>
          <w:rFonts w:ascii="Times New Roman" w:hAnsi="Times New Roman" w:cs="Times New Roman"/>
          <w:sz w:val="28"/>
          <w:szCs w:val="28"/>
        </w:rPr>
        <w:t>.</w:t>
      </w:r>
    </w:p>
    <w:p w:rsidR="00995F70" w:rsidRPr="002735AF" w:rsidRDefault="00995F70" w:rsidP="00995F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735AF">
        <w:rPr>
          <w:rFonts w:ascii="Times New Roman" w:hAnsi="Times New Roman" w:cs="Times New Roman"/>
          <w:color w:val="auto"/>
          <w:sz w:val="28"/>
          <w:szCs w:val="28"/>
        </w:rPr>
        <w:t>араметры внешней среды для развития Курской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т</w:t>
      </w:r>
      <w:r w:rsidRPr="002735AF">
        <w:rPr>
          <w:rFonts w:ascii="Times New Roman" w:hAnsi="Times New Roman" w:cs="Times New Roman"/>
          <w:color w:val="auto"/>
          <w:sz w:val="28"/>
          <w:szCs w:val="28"/>
        </w:rPr>
        <w:t>енденци</w:t>
      </w:r>
      <w:r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2735AF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российской экономики и внешнеэкономически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2735AF">
        <w:rPr>
          <w:rFonts w:ascii="Times New Roman" w:hAnsi="Times New Roman" w:cs="Times New Roman"/>
          <w:color w:val="auto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color w:val="auto"/>
          <w:sz w:val="28"/>
          <w:szCs w:val="28"/>
        </w:rPr>
        <w:t>ми.</w:t>
      </w:r>
      <w:r w:rsidRPr="002735AF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Внутренние факторы связаны с особенностями экономического развития области и спецификой стоящих перед ней целей и задач.</w:t>
      </w:r>
    </w:p>
    <w:p w:rsidR="00995F70" w:rsidRPr="00D603CE" w:rsidRDefault="00995F70" w:rsidP="00995F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Тенденции развития экономики Российской Федерации изложены в Прогнозе социально-экономического развития Российской Федерации на период до 2024 года, одобренном на заседании Правительства Российской </w:t>
      </w:r>
      <w:r w:rsidRPr="00D603CE">
        <w:rPr>
          <w:rFonts w:ascii="Times New Roman" w:hAnsi="Times New Roman" w:cs="Times New Roman"/>
          <w:color w:val="auto"/>
          <w:sz w:val="28"/>
          <w:szCs w:val="28"/>
        </w:rPr>
        <w:t>Федерации 20 сентября 2018 года.</w:t>
      </w:r>
    </w:p>
    <w:p w:rsidR="00995F70" w:rsidRPr="003A560E" w:rsidRDefault="00995F70" w:rsidP="00995F7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 xml:space="preserve">В целом по текущему году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>ожидается</w:t>
      </w:r>
      <w:r w:rsidRPr="003A560E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 xml:space="preserve">, что экономика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 xml:space="preserve">страны </w:t>
      </w:r>
      <w:r w:rsidRPr="003A560E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 xml:space="preserve">покажет </w:t>
      </w: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 на уровне в 1,8 %, инфляция закончит год на отметке в 3,4 %.</w:t>
      </w:r>
    </w:p>
    <w:p w:rsidR="00995F70" w:rsidRPr="003A560E" w:rsidRDefault="00995F70" w:rsidP="00995F7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Предполагается, что следующий 2019 год во многом будет переходным. По итогам 2019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экономический </w:t>
      </w: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 останется положительным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однако</w:t>
      </w: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замедлится - до 1,3 %. Инфляция ускорится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4,3 %. Наибольшее значение по инфляции - в начале года на уровне  около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5 %.</w:t>
      </w:r>
    </w:p>
    <w:p w:rsidR="00995F70" w:rsidRPr="003A560E" w:rsidRDefault="00995F70" w:rsidP="00995F7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Начиная с 2020 года восстановление экономического роста будет основываться на результатах реализуемых изменений и успешной реализации национальных проектов. </w:t>
      </w:r>
    </w:p>
    <w:p w:rsidR="00995F70" w:rsidRPr="003A560E" w:rsidRDefault="00995F70" w:rsidP="00995F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60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Предложенный Правительством Российской Федерации пакет структурных изменений должен обеспечить выход экономической динамики на более высокую траекторию, необходимую для решения проблем социально-экономической сферы.</w:t>
      </w:r>
    </w:p>
    <w:p w:rsidR="00995F70" w:rsidRPr="003A560E" w:rsidRDefault="00995F70" w:rsidP="00995F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Среди таких мер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необходимо выделить следующие</w:t>
      </w:r>
      <w:r w:rsidRPr="003A560E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995F70" w:rsidRPr="003A560E" w:rsidRDefault="00995F70" w:rsidP="00995F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hAnsi="Times New Roman" w:cs="Times New Roman"/>
          <w:color w:val="auto"/>
          <w:sz w:val="28"/>
          <w:szCs w:val="28"/>
          <w:lang w:bidi="ar-SA"/>
        </w:rPr>
        <w:t>эффективная реализация национальных проектов и комплексного плана развития инфраструктуры;</w:t>
      </w:r>
    </w:p>
    <w:p w:rsidR="00995F70" w:rsidRPr="003A560E" w:rsidRDefault="00995F70" w:rsidP="00995F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реализация плана действий по повышению уровня инвестиционной активности;</w:t>
      </w:r>
    </w:p>
    <w:p w:rsidR="00995F70" w:rsidRPr="003A560E" w:rsidRDefault="00995F70" w:rsidP="00995F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A560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пенсионная реформа, направленная на ускоренный рост уровня пенсионного обеспечения.</w:t>
      </w:r>
    </w:p>
    <w:p w:rsidR="00B65922" w:rsidRPr="007460C2" w:rsidRDefault="00B65922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C2">
        <w:rPr>
          <w:rFonts w:ascii="Times New Roman" w:hAnsi="Times New Roman" w:cs="Times New Roman"/>
          <w:sz w:val="28"/>
          <w:szCs w:val="28"/>
        </w:rPr>
        <w:t xml:space="preserve">При формировании сценариев </w:t>
      </w:r>
      <w:r w:rsidR="00995F7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Курской области </w:t>
      </w:r>
      <w:r w:rsidRPr="007460C2">
        <w:rPr>
          <w:rFonts w:ascii="Times New Roman" w:hAnsi="Times New Roman" w:cs="Times New Roman"/>
          <w:sz w:val="28"/>
          <w:szCs w:val="28"/>
        </w:rPr>
        <w:t>учтены тенденции, взаимосвязи между показателями социально-экономического развития области.</w:t>
      </w:r>
    </w:p>
    <w:p w:rsidR="00C3655E" w:rsidRPr="00F627AC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A67">
        <w:rPr>
          <w:rFonts w:ascii="Times New Roman" w:hAnsi="Times New Roman" w:cs="Times New Roman"/>
          <w:b/>
          <w:i/>
          <w:color w:val="auto"/>
          <w:sz w:val="28"/>
          <w:szCs w:val="28"/>
        </w:rPr>
        <w:t>Базовый вариант</w:t>
      </w:r>
      <w:r w:rsidRPr="00F627A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характеризует основные тенденции и параметры развития экономики в условиях консервативных ожиданий изменения внешних и внутренних факторов при сохранении бюджетной политики, в том числе в части социальных обязательств государства; его можно охарактеризовать как умеренно-оптимистический.</w:t>
      </w:r>
    </w:p>
    <w:p w:rsidR="00C3655E" w:rsidRPr="005E1AC4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7AC">
        <w:rPr>
          <w:rFonts w:ascii="Times New Roman" w:hAnsi="Times New Roman" w:cs="Times New Roman"/>
          <w:color w:val="auto"/>
          <w:sz w:val="28"/>
          <w:szCs w:val="28"/>
        </w:rPr>
        <w:t>Вариант предполагает сохранение инвестиционной направленности роста экономики. Инновационная</w:t>
      </w:r>
      <w:r w:rsidRPr="005E1AC4">
        <w:rPr>
          <w:rFonts w:ascii="Times New Roman" w:hAnsi="Times New Roman" w:cs="Times New Roman"/>
          <w:color w:val="auto"/>
          <w:sz w:val="28"/>
          <w:szCs w:val="28"/>
        </w:rPr>
        <w:t xml:space="preserve"> составляющая технологического обновления традиционных отраслей будет базироваться преимущественно на развитии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уже </w:t>
      </w:r>
      <w:r w:rsidRPr="005E1AC4">
        <w:rPr>
          <w:rFonts w:ascii="Times New Roman" w:hAnsi="Times New Roman" w:cs="Times New Roman"/>
          <w:color w:val="auto"/>
          <w:sz w:val="28"/>
          <w:szCs w:val="28"/>
        </w:rPr>
        <w:t xml:space="preserve">сложившегося научно-образовательного потенциала </w:t>
      </w:r>
      <w:r w:rsidRPr="005E1AC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области.</w:t>
      </w:r>
    </w:p>
    <w:p w:rsidR="00C3655E" w:rsidRPr="005E1AC4" w:rsidRDefault="00C3655E" w:rsidP="00C365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AC4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Курской области в данном варианте будет происходить на основании сложившихся социально-экономических тенденций в регионе и предполагает умеренный рост экономики. </w:t>
      </w:r>
    </w:p>
    <w:p w:rsidR="00C3655E" w:rsidRPr="009826EF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6EF">
        <w:rPr>
          <w:rFonts w:ascii="Times New Roman" w:hAnsi="Times New Roman" w:cs="Times New Roman"/>
          <w:color w:val="auto"/>
          <w:sz w:val="28"/>
          <w:szCs w:val="28"/>
        </w:rPr>
        <w:t>Базовый сценарий развития представляется наиболее вероятным для реализации. Это связано с тем, что есть все предпосылки для дальнейшего развития базовых отраслей экономики региона за счёт реализации важных инвестиционных проектов, несмотря на сложную экономическую ситуацию.</w:t>
      </w:r>
    </w:p>
    <w:p w:rsidR="00C3655E" w:rsidRPr="00DE776B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76B">
        <w:rPr>
          <w:rFonts w:ascii="Times New Roman" w:hAnsi="Times New Roman" w:cs="Times New Roman"/>
          <w:color w:val="auto"/>
          <w:sz w:val="28"/>
          <w:szCs w:val="28"/>
        </w:rPr>
        <w:t>Корпорация «Росатом» продолжит реализацию проекта по строительству станции замещения АЭС-2. Это станет важным катализатором для развития других отраслей экономики, создаст новые рабочие места, в том числе временные на период строительства.</w:t>
      </w:r>
    </w:p>
    <w:p w:rsidR="00C3655E" w:rsidRPr="00DE776B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76B">
        <w:rPr>
          <w:rFonts w:ascii="Times New Roman" w:hAnsi="Times New Roman" w:cs="Times New Roman"/>
          <w:color w:val="auto"/>
          <w:sz w:val="28"/>
          <w:szCs w:val="28"/>
        </w:rPr>
        <w:t xml:space="preserve">Продолжится развитие ПАО «Михайловский ГОК» за счёт реализации инвестиционных проектов, которые позволят нарастить объёмы производства и оптимизировать издержки. </w:t>
      </w:r>
    </w:p>
    <w:p w:rsidR="00C3655E" w:rsidRPr="00DE776B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015">
        <w:rPr>
          <w:rFonts w:ascii="Times New Roman" w:hAnsi="Times New Roman" w:cs="Times New Roman"/>
          <w:color w:val="auto"/>
          <w:sz w:val="28"/>
          <w:szCs w:val="28"/>
        </w:rPr>
        <w:t>В целях диверсификации структуры промышленности на основе опережающего развития обрабатывающих производств будет продолжена реализация проектов в производстве пищевых продуктов, лекарственных средств и материалов, производстве резиновых и пластмассовых изделий, химических веществ и химических продуктов, производстве электрического оборудования и др. Продолжится работа по импортозамещению, что также обеспечит положительную динамику развития данных производств.</w:t>
      </w:r>
    </w:p>
    <w:p w:rsidR="00C3655E" w:rsidRPr="00DE776B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A46">
        <w:rPr>
          <w:rFonts w:ascii="Times New Roman" w:hAnsi="Times New Roman" w:cs="Times New Roman"/>
          <w:color w:val="auto"/>
          <w:sz w:val="28"/>
          <w:szCs w:val="28"/>
        </w:rPr>
        <w:t>Хорошие перспективы есть у предприятий пищевой промышленности. Активно участвуя в программе импортозамещения, они реализуют инвестиционные проекты, нацеленные на производство новых видов продукции, ранее активно импортировавшейся из-за рубежа.</w:t>
      </w:r>
      <w:r w:rsidRPr="00DE7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655E" w:rsidRPr="00F00CD7" w:rsidRDefault="00C3655E" w:rsidP="00C3655E">
      <w:pPr>
        <w:pStyle w:val="35"/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5B1BBE">
        <w:rPr>
          <w:rFonts w:ascii="Times New Roman" w:hAnsi="Times New Roman" w:cs="Times New Roman"/>
          <w:sz w:val="28"/>
          <w:szCs w:val="28"/>
        </w:rPr>
        <w:t xml:space="preserve">Базовый вариант прогноза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5B1BBE">
        <w:rPr>
          <w:rFonts w:ascii="Times New Roman" w:hAnsi="Times New Roman" w:cs="Times New Roman"/>
          <w:sz w:val="28"/>
          <w:szCs w:val="28"/>
        </w:rPr>
        <w:t xml:space="preserve">предполагает, что развитие будет осуществляться в относительно благоприятных условиях, что позволит в большей степени использовать имеющийся потенциал, в том числе в рамках развития действующего производства и реализации инвестиционных проектов в отрасли.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0CD7">
        <w:rPr>
          <w:rFonts w:ascii="Times New Roman" w:hAnsi="Times New Roman" w:cs="Times New Roman"/>
          <w:color w:val="auto"/>
          <w:sz w:val="28"/>
          <w:szCs w:val="28"/>
        </w:rPr>
        <w:t>овокупность мероприятий по развитию агропромышленного комплекса, реализуемых Правительством Российской Федерации в последние годы, будет способствовать интенсификации производства, улучшению количественных и   качественных показателей отрасли, что, в свою очередь, отразится на конкурентоспособности продукции для обеспечения населения качественной продукцией и будет способствовать выходу отечественной продукции на зарубежные рынки сбыта.</w:t>
      </w:r>
    </w:p>
    <w:p w:rsidR="00C3655E" w:rsidRPr="00374042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D7C">
        <w:rPr>
          <w:rFonts w:ascii="Times New Roman" w:hAnsi="Times New Roman" w:cs="Times New Roman"/>
          <w:color w:val="auto"/>
          <w:sz w:val="28"/>
          <w:szCs w:val="28"/>
        </w:rPr>
        <w:t xml:space="preserve">В 2019 году по базовому варианту ВРП прогнозируется на уровне </w:t>
      </w:r>
      <w:r w:rsidRPr="00374042">
        <w:rPr>
          <w:rFonts w:ascii="Times New Roman" w:hAnsi="Times New Roman" w:cs="Times New Roman"/>
          <w:color w:val="auto"/>
          <w:sz w:val="28"/>
          <w:szCs w:val="28"/>
        </w:rPr>
        <w:t>101,7 %, в 2020</w:t>
      </w:r>
      <w:r w:rsidRPr="00A50D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042">
        <w:rPr>
          <w:rFonts w:ascii="Times New Roman" w:hAnsi="Times New Roman" w:cs="Times New Roman"/>
          <w:color w:val="auto"/>
          <w:sz w:val="28"/>
          <w:szCs w:val="28"/>
        </w:rPr>
        <w:t>году – 101,3 %, в</w:t>
      </w:r>
      <w:r w:rsidRPr="00A50D7C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A50D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>году – 10</w:t>
      </w:r>
      <w:r w:rsidR="00305E60" w:rsidRPr="00305E60">
        <w:rPr>
          <w:rFonts w:ascii="Times New Roman" w:hAnsi="Times New Roman" w:cs="Times New Roman"/>
          <w:color w:val="auto"/>
          <w:sz w:val="28"/>
          <w:szCs w:val="28"/>
        </w:rPr>
        <w:t>3,2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  <w:r w:rsidRPr="003740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655E" w:rsidRPr="0006680D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80D">
        <w:rPr>
          <w:rFonts w:ascii="Times New Roman" w:hAnsi="Times New Roman" w:cs="Times New Roman"/>
          <w:b/>
          <w:i/>
          <w:color w:val="auto"/>
          <w:sz w:val="28"/>
          <w:szCs w:val="28"/>
        </w:rPr>
        <w:t>Консервативный вариант</w:t>
      </w:r>
      <w:r w:rsidRPr="0006680D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развитие экономики в условиях консервативных оценок темпов экономического роста с учетом существенного ухудшения внешнеэкономических и иных условий.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Данный </w:t>
      </w:r>
      <w:r w:rsidRPr="0006680D">
        <w:rPr>
          <w:rFonts w:ascii="Times New Roman" w:hAnsi="Times New Roman" w:cs="Times New Roman"/>
          <w:color w:val="auto"/>
          <w:sz w:val="28"/>
          <w:szCs w:val="28"/>
        </w:rPr>
        <w:t xml:space="preserve">вариант развития экономики Курской области является наихудшим из трех вариантов. </w:t>
      </w:r>
    </w:p>
    <w:p w:rsidR="00C3655E" w:rsidRPr="0006680D" w:rsidRDefault="00C3655E" w:rsidP="00C3655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80D">
        <w:rPr>
          <w:rFonts w:ascii="Times New Roman" w:hAnsi="Times New Roman" w:cs="Times New Roman"/>
          <w:color w:val="auto"/>
          <w:sz w:val="28"/>
          <w:szCs w:val="28"/>
        </w:rPr>
        <w:t xml:space="preserve">При консервативном варианте возможно сохранение экономических санкций и прочих ограничений в целом для страны, связанных с экономико-политической обстановкой в мире, которые могут повлиять на доступ предприятий к передовым технологиям зарубежных компаний. </w:t>
      </w:r>
    </w:p>
    <w:p w:rsidR="00C3655E" w:rsidRPr="00607E49" w:rsidRDefault="00C3655E" w:rsidP="00C3655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E49">
        <w:rPr>
          <w:rFonts w:ascii="Times New Roman" w:hAnsi="Times New Roman" w:cs="Times New Roman"/>
          <w:color w:val="auto"/>
          <w:sz w:val="28"/>
          <w:szCs w:val="28"/>
        </w:rPr>
        <w:t>Вариант предполагает более низкие темпы экономического роста и сдержанную инвестиционную активность, ухудшение настроений экономических агентов, меньшие темпы роста прибыли организаций. Данный сценарий отражает развитие экономики в условиях замедления внутреннего спроса.</w:t>
      </w:r>
    </w:p>
    <w:p w:rsidR="00C3655E" w:rsidRPr="007510E1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0E1">
        <w:rPr>
          <w:rFonts w:ascii="Times New Roman" w:hAnsi="Times New Roman" w:cs="Times New Roman"/>
          <w:color w:val="auto"/>
          <w:sz w:val="28"/>
          <w:szCs w:val="28"/>
        </w:rPr>
        <w:t>Внешние стимулы для роста также невысоки, внутренние будут ограничиваться невысокими темпами роста доходов населения и старением основных производственных фондов.</w:t>
      </w:r>
    </w:p>
    <w:p w:rsidR="00C3655E" w:rsidRPr="00640351" w:rsidRDefault="00C3655E" w:rsidP="00C3655E">
      <w:pPr>
        <w:pStyle w:val="35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0351">
        <w:rPr>
          <w:rFonts w:ascii="Times New Roman" w:hAnsi="Times New Roman" w:cs="Times New Roman"/>
          <w:sz w:val="28"/>
          <w:szCs w:val="28"/>
        </w:rPr>
        <w:t xml:space="preserve">онсервативный вариант прогноза развития агропромышленного комплекса предполагает, что возможности развития сельскохозяйственных товаропроизводителей будут ограничены за счет неблагоприятного влияния факторов внешней среды. Неблагоприятные условия рыночной конъюнктуры, недофинансирование отрасли, обусловленное, в том числе закредитованностью хозяйствующих субъектов, могут привести к ухудшению финансового состояния ряда предприятий и приостановке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Pr="00640351">
        <w:rPr>
          <w:rFonts w:ascii="Times New Roman" w:hAnsi="Times New Roman" w:cs="Times New Roman"/>
          <w:sz w:val="28"/>
          <w:szCs w:val="28"/>
        </w:rPr>
        <w:t>инвестиционных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E" w:rsidRPr="00AA0934" w:rsidRDefault="00C3655E" w:rsidP="00C3655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0E1">
        <w:rPr>
          <w:rFonts w:ascii="Times New Roman" w:hAnsi="Times New Roman" w:cs="Times New Roman"/>
          <w:color w:val="auto"/>
          <w:sz w:val="28"/>
          <w:szCs w:val="28"/>
        </w:rPr>
        <w:t>В случае развития экономики Курской области по данному сценарию в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510E1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>ВРП прогнозируется на уровне 10</w:t>
      </w:r>
      <w:r w:rsidR="007234C8" w:rsidRPr="00305E60">
        <w:rPr>
          <w:rFonts w:ascii="Times New Roman" w:hAnsi="Times New Roman" w:cs="Times New Roman"/>
          <w:color w:val="auto"/>
          <w:sz w:val="28"/>
          <w:szCs w:val="28"/>
        </w:rPr>
        <w:t>1,5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 xml:space="preserve"> %, в 2020 году – 101,0 %, в 2030 году – 1</w:t>
      </w:r>
      <w:r w:rsidR="00305E60" w:rsidRPr="00305E60">
        <w:rPr>
          <w:rFonts w:ascii="Times New Roman" w:hAnsi="Times New Roman" w:cs="Times New Roman"/>
          <w:color w:val="auto"/>
          <w:sz w:val="28"/>
          <w:szCs w:val="28"/>
        </w:rPr>
        <w:t>02,5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  <w:r w:rsidRPr="00AA09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655E" w:rsidRPr="00972DA4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934">
        <w:rPr>
          <w:rFonts w:ascii="Times New Roman" w:hAnsi="Times New Roman" w:cs="Times New Roman"/>
          <w:b/>
          <w:i/>
          <w:color w:val="auto"/>
          <w:sz w:val="28"/>
          <w:szCs w:val="28"/>
        </w:rPr>
        <w:t>Целевой вариант</w:t>
      </w:r>
      <w:r w:rsidRPr="00AA0934">
        <w:rPr>
          <w:rFonts w:ascii="Times New Roman" w:hAnsi="Times New Roman" w:cs="Times New Roman"/>
          <w:color w:val="auto"/>
          <w:sz w:val="28"/>
          <w:szCs w:val="28"/>
        </w:rPr>
        <w:t xml:space="preserve"> ориентирует</w:t>
      </w:r>
      <w:r w:rsidRPr="00972DA4">
        <w:rPr>
          <w:rFonts w:ascii="Times New Roman" w:hAnsi="Times New Roman" w:cs="Times New Roman"/>
          <w:color w:val="auto"/>
          <w:sz w:val="28"/>
          <w:szCs w:val="28"/>
        </w:rPr>
        <w:t xml:space="preserve"> регион на достижение целевых показателей социально-экономического развития и решение задач стратегического планирования. Данный вариант прогноза основан на активизации социально-экономического развития, учитывающего достижение целей и задач стратегического планирования при консервативных внешнеэкономических условиях.</w:t>
      </w:r>
    </w:p>
    <w:p w:rsidR="00C3655E" w:rsidRPr="00972DA4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DA4">
        <w:rPr>
          <w:rFonts w:ascii="Times New Roman" w:hAnsi="Times New Roman" w:cs="Times New Roman"/>
          <w:color w:val="auto"/>
          <w:sz w:val="28"/>
          <w:szCs w:val="28"/>
        </w:rPr>
        <w:t xml:space="preserve">Вариант характеризуется </w:t>
      </w:r>
      <w:r>
        <w:rPr>
          <w:rFonts w:ascii="Times New Roman" w:hAnsi="Times New Roman" w:cs="Times New Roman"/>
          <w:color w:val="auto"/>
          <w:sz w:val="28"/>
          <w:szCs w:val="28"/>
        </w:rPr>
        <w:t>более высокими</w:t>
      </w:r>
      <w:r w:rsidRPr="00972DA4">
        <w:rPr>
          <w:rFonts w:ascii="Times New Roman" w:hAnsi="Times New Roman" w:cs="Times New Roman"/>
          <w:color w:val="auto"/>
          <w:sz w:val="28"/>
          <w:szCs w:val="28"/>
        </w:rPr>
        <w:t xml:space="preserve"> темпами роста экономики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2DA4">
        <w:rPr>
          <w:rFonts w:ascii="Times New Roman" w:hAnsi="Times New Roman" w:cs="Times New Roman"/>
          <w:color w:val="auto"/>
          <w:sz w:val="28"/>
          <w:szCs w:val="28"/>
        </w:rPr>
        <w:t xml:space="preserve"> роста ее конкурентоспособности, повышением инвестиционной активности бизнеса, развитием высокотехнологичных отраслей, восстановлением потребительской активности населения, ростом реальной заработной платы и реальных денежных доходов населения.</w:t>
      </w:r>
    </w:p>
    <w:p w:rsidR="00C3655E" w:rsidRPr="00972DA4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DA4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научно-инновационной сферы Курской области будет направлено на решение таких приоритетных задач как повышение инновационной активности бизнеса и ускорение появления новых инновационных компаний;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внедрение цифровых технологий; </w:t>
      </w:r>
      <w:r w:rsidRPr="00972DA4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 развивающегося сектора исследований и разработок; развитие кадрового потенциала в сфере науки, образования, технологий и инноваций.</w:t>
      </w:r>
    </w:p>
    <w:p w:rsidR="00C3655E" w:rsidRPr="002F528B" w:rsidRDefault="00C3655E" w:rsidP="00C3655E">
      <w:pPr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528B">
        <w:rPr>
          <w:rFonts w:ascii="Times New Roman" w:hAnsi="Times New Roman" w:cs="Times New Roman"/>
          <w:color w:val="auto"/>
          <w:sz w:val="28"/>
          <w:szCs w:val="28"/>
        </w:rPr>
        <w:t xml:space="preserve">Ожидается реализация всех запланированных мероприятий, инвестиционных проектов в полном объеме и в установленные сроки, в </w:t>
      </w:r>
      <w:r w:rsidRPr="002F528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том числе важнейших в социальной сфере. </w:t>
      </w:r>
    </w:p>
    <w:p w:rsidR="00C3655E" w:rsidRPr="002F528B" w:rsidRDefault="00C3655E" w:rsidP="00C3655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28B">
        <w:rPr>
          <w:rFonts w:ascii="Times New Roman" w:hAnsi="Times New Roman" w:cs="Times New Roman"/>
          <w:color w:val="auto"/>
          <w:sz w:val="28"/>
          <w:szCs w:val="28"/>
        </w:rPr>
        <w:t xml:space="preserve">Внешние условия в целевом сценарии сохраняются на уровне базового сценария, при этом предполагается разработка и реализация ряда мер экономической политики, направленных на обеспечение инвестиционной ориентации экономики, повышение инвестиционной активности частного капитала; государственную поддержку системообразующих и эффективных инвестиционных проектов; опережающий рост инвестиций в инновационные сектора экономики; увеличение вложений и расширение форм поддержки секторов, ориентированных на несырьевой и высокотехнологичный экспорт; содействие развитию импортозамещения по критическим направлениям импорта; максимальное сокращение неэффективных издержек и затрат. </w:t>
      </w:r>
    </w:p>
    <w:p w:rsidR="00C3655E" w:rsidRPr="008E1C81" w:rsidRDefault="00C3655E" w:rsidP="00C3655E">
      <w:pPr>
        <w:pStyle w:val="af"/>
        <w:spacing w:after="0"/>
        <w:ind w:left="0" w:firstLine="709"/>
        <w:jc w:val="both"/>
        <w:outlineLvl w:val="0"/>
        <w:rPr>
          <w:sz w:val="28"/>
          <w:szCs w:val="28"/>
        </w:rPr>
      </w:pPr>
      <w:r w:rsidRPr="00E250CF">
        <w:rPr>
          <w:sz w:val="28"/>
          <w:szCs w:val="28"/>
        </w:rPr>
        <w:t xml:space="preserve">Освоение инвестиций по целевому сценарию будет связано со строительством объектов Курской АЭС-2, реализацией инвестиционных проектов ПАО «Михайловский ГОК», инвестиционных проектов в сфере агропромышленного комплекса, социальной сфере; более масштабной технологической модернизацией промышленных предприятий области. </w:t>
      </w:r>
      <w:r w:rsidRPr="008E1C81">
        <w:rPr>
          <w:sz w:val="28"/>
          <w:szCs w:val="28"/>
        </w:rPr>
        <w:t>Планируется дальнейшее освоение инновационных видов продукции,  внедрение  прогрессивных методов возделывания сельскохозяйственных культур с применением интенсивных и инновационных технологий</w:t>
      </w:r>
      <w:r>
        <w:rPr>
          <w:sz w:val="28"/>
          <w:szCs w:val="28"/>
        </w:rPr>
        <w:t>, направленных на качество производимой продукции</w:t>
      </w:r>
      <w:r w:rsidRPr="008E1C81">
        <w:rPr>
          <w:sz w:val="28"/>
          <w:szCs w:val="28"/>
        </w:rPr>
        <w:t>.</w:t>
      </w:r>
    </w:p>
    <w:p w:rsidR="00C3655E" w:rsidRPr="008E1C81" w:rsidRDefault="00C3655E" w:rsidP="00C3655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1C81">
        <w:rPr>
          <w:rFonts w:ascii="Times New Roman" w:hAnsi="Times New Roman" w:cs="Times New Roman"/>
          <w:color w:val="auto"/>
          <w:sz w:val="28"/>
          <w:szCs w:val="28"/>
        </w:rPr>
        <w:t>Вместе с тем, учитывая длительность инвестиционного цикла, значимый экономический эффект от реализации проектов ожидается в последующие год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E1C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655E" w:rsidRPr="006F73D5" w:rsidRDefault="00C3655E" w:rsidP="00C365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2F528B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указанных мер позволит обеспечить увеличение темпов роста ВРП по целевому сценарию </w:t>
      </w:r>
      <w:r w:rsidRPr="0038125B">
        <w:rPr>
          <w:rFonts w:ascii="Times New Roman" w:hAnsi="Times New Roman" w:cs="Times New Roman"/>
          <w:color w:val="auto"/>
          <w:sz w:val="28"/>
          <w:szCs w:val="28"/>
        </w:rPr>
        <w:t>до 102,0 % в 2019</w:t>
      </w:r>
      <w:r w:rsidRPr="002F528B">
        <w:rPr>
          <w:rFonts w:ascii="Times New Roman" w:hAnsi="Times New Roman" w:cs="Times New Roman"/>
          <w:color w:val="auto"/>
          <w:sz w:val="28"/>
          <w:szCs w:val="28"/>
        </w:rPr>
        <w:t xml:space="preserve"> году, до </w:t>
      </w:r>
      <w:r>
        <w:rPr>
          <w:rFonts w:ascii="Times New Roman" w:hAnsi="Times New Roman" w:cs="Times New Roman"/>
          <w:color w:val="auto"/>
          <w:sz w:val="28"/>
          <w:szCs w:val="28"/>
        </w:rPr>
        <w:t>101,</w:t>
      </w:r>
      <w:r w:rsidRPr="0038125B">
        <w:rPr>
          <w:rFonts w:ascii="Times New Roman" w:hAnsi="Times New Roman" w:cs="Times New Roman"/>
          <w:color w:val="auto"/>
          <w:sz w:val="28"/>
          <w:szCs w:val="28"/>
        </w:rPr>
        <w:t xml:space="preserve">5 % - </w:t>
      </w:r>
      <w:r w:rsidRPr="002F528B">
        <w:rPr>
          <w:rFonts w:ascii="Times New Roman" w:hAnsi="Times New Roman" w:cs="Times New Roman"/>
          <w:color w:val="auto"/>
          <w:sz w:val="28"/>
          <w:szCs w:val="28"/>
        </w:rPr>
        <w:t xml:space="preserve">в 2020 году и </w:t>
      </w:r>
      <w:r w:rsidRPr="00833F0A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05E60" w:rsidRPr="00305E60">
        <w:rPr>
          <w:rFonts w:ascii="Times New Roman" w:hAnsi="Times New Roman" w:cs="Times New Roman"/>
          <w:color w:val="auto"/>
          <w:sz w:val="28"/>
          <w:szCs w:val="28"/>
        </w:rPr>
        <w:t>03,5</w:t>
      </w:r>
      <w:r w:rsidRPr="00305E60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Pr="00833F0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2F528B">
        <w:rPr>
          <w:rFonts w:ascii="Times New Roman" w:hAnsi="Times New Roman" w:cs="Times New Roman"/>
          <w:color w:val="auto"/>
          <w:sz w:val="28"/>
          <w:szCs w:val="28"/>
        </w:rPr>
        <w:t>в 20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2F528B">
        <w:rPr>
          <w:rFonts w:ascii="Times New Roman" w:hAnsi="Times New Roman" w:cs="Times New Roman"/>
          <w:color w:val="auto"/>
          <w:sz w:val="28"/>
          <w:szCs w:val="28"/>
        </w:rPr>
        <w:t xml:space="preserve"> году. </w:t>
      </w:r>
    </w:p>
    <w:p w:rsidR="00FC5891" w:rsidRPr="002760ED" w:rsidRDefault="00FC5891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922" w:rsidRPr="000B1C37" w:rsidRDefault="008779BD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65922" w:rsidRPr="000B1C37">
        <w:rPr>
          <w:rFonts w:ascii="Times New Roman" w:hAnsi="Times New Roman" w:cs="Times New Roman"/>
          <w:b/>
          <w:sz w:val="28"/>
          <w:szCs w:val="28"/>
        </w:rPr>
        <w:t>Оценка факторов и ограничений экономического роста Курской области на долгосрочный период</w:t>
      </w:r>
      <w:r w:rsidR="00B65922" w:rsidRPr="000B1C37">
        <w:rPr>
          <w:rFonts w:ascii="Times New Roman" w:hAnsi="Times New Roman" w:cs="Times New Roman"/>
          <w:sz w:val="28"/>
          <w:szCs w:val="28"/>
        </w:rPr>
        <w:t>.</w:t>
      </w:r>
    </w:p>
    <w:p w:rsidR="00D5637A" w:rsidRPr="00195EE9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EE9">
        <w:rPr>
          <w:rFonts w:ascii="Times New Roman" w:hAnsi="Times New Roman" w:cs="Times New Roman"/>
          <w:color w:val="auto"/>
          <w:sz w:val="28"/>
          <w:szCs w:val="28"/>
        </w:rPr>
        <w:t xml:space="preserve">Курская область является стратегически важным регионом России, обладающим рядом конкурентных преимуществ, которые являются </w:t>
      </w:r>
      <w:r w:rsidRPr="00CE20EF">
        <w:rPr>
          <w:rFonts w:ascii="Times New Roman" w:hAnsi="Times New Roman" w:cs="Times New Roman"/>
          <w:color w:val="auto"/>
          <w:sz w:val="28"/>
          <w:szCs w:val="28"/>
        </w:rPr>
        <w:t>факторами экономического роста</w:t>
      </w:r>
      <w:r w:rsidRPr="00195EE9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области, в том числе:</w:t>
      </w:r>
    </w:p>
    <w:p w:rsidR="00D5637A" w:rsidRPr="002C3B8D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B8D">
        <w:rPr>
          <w:rFonts w:ascii="Times New Roman" w:hAnsi="Times New Roman" w:cs="Times New Roman"/>
          <w:color w:val="auto"/>
          <w:sz w:val="28"/>
          <w:szCs w:val="28"/>
        </w:rPr>
        <w:t xml:space="preserve">1. Удобное географическое положение в благоприятной климатической зоне, свободной от природных стихийных бедствий и позволяющей вести интенсивное земледелие и животноводство. </w:t>
      </w:r>
    </w:p>
    <w:p w:rsidR="00D5637A" w:rsidRPr="002C3B8D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B8D">
        <w:rPr>
          <w:rFonts w:ascii="Times New Roman" w:hAnsi="Times New Roman" w:cs="Times New Roman"/>
          <w:color w:val="auto"/>
          <w:sz w:val="28"/>
          <w:szCs w:val="28"/>
        </w:rPr>
        <w:t xml:space="preserve">Территория области занимает площадь 30 тысяч квадратных километров и расположена на пересечении важнейших транспортных и торговых путей России, соединяющих запад и восток, север и юг. </w:t>
      </w:r>
    </w:p>
    <w:p w:rsidR="00D5637A" w:rsidRPr="002C3B8D" w:rsidRDefault="00D5637A" w:rsidP="00D56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8D">
        <w:rPr>
          <w:rFonts w:ascii="Times New Roman" w:hAnsi="Times New Roman" w:cs="Times New Roman"/>
          <w:sz w:val="28"/>
          <w:szCs w:val="28"/>
        </w:rPr>
        <w:t xml:space="preserve">2. На территории Курской области развита сеть железнодорожных и автомобильных магистралей. Московская и Юго-Восточная железные дороги - филиалы ОАО «Российские железные дороги», работающие  на территории области,  связывают областной центр - город Курск с городами Москва, Воронеж, Белгород  и другими крупными городами Российской Федерации.  Расположены три крупных железнодорожных узла: Курск, </w:t>
      </w:r>
      <w:r w:rsidRPr="002C3B8D">
        <w:rPr>
          <w:rFonts w:ascii="Times New Roman" w:hAnsi="Times New Roman" w:cs="Times New Roman"/>
          <w:sz w:val="28"/>
          <w:szCs w:val="28"/>
        </w:rPr>
        <w:lastRenderedPageBreak/>
        <w:t xml:space="preserve">Льгов, Касторная. </w:t>
      </w:r>
    </w:p>
    <w:p w:rsidR="00D5637A" w:rsidRPr="00D5637A" w:rsidRDefault="00D5637A" w:rsidP="00D56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>По территории области проходят автомобильные трассы федерального значения: М-2 Москва – Курск – Белгород  и  А-144 Москва – Курск – Воронеж – Борисоглебск.</w:t>
      </w:r>
    </w:p>
    <w:p w:rsidR="00D5637A" w:rsidRPr="00D5637A" w:rsidRDefault="00D5637A" w:rsidP="00D5637A">
      <w:pPr>
        <w:pStyle w:val="2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 xml:space="preserve">Через территорию Курской области проходят магистральные </w:t>
      </w:r>
      <w:proofErr w:type="spellStart"/>
      <w:r w:rsidRPr="00D5637A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D5637A">
        <w:rPr>
          <w:rFonts w:ascii="Times New Roman" w:hAnsi="Times New Roman" w:cs="Times New Roman"/>
          <w:sz w:val="28"/>
          <w:szCs w:val="28"/>
        </w:rPr>
        <w:t>- и газопроводы.</w:t>
      </w:r>
    </w:p>
    <w:p w:rsidR="00D5637A" w:rsidRPr="00D5637A" w:rsidRDefault="00D5637A" w:rsidP="00D5637A">
      <w:pPr>
        <w:pStyle w:val="2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>Воздушное сообщение осуществляется через терминалы Курского аэропорта, имеющего международный статус.</w:t>
      </w:r>
    </w:p>
    <w:p w:rsidR="00D5637A" w:rsidRPr="00D5637A" w:rsidRDefault="00D5637A" w:rsidP="00D5637A">
      <w:pPr>
        <w:pStyle w:val="2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D5637A">
        <w:rPr>
          <w:rFonts w:ascii="Times New Roman" w:hAnsi="Times New Roman" w:cs="Times New Roman"/>
          <w:sz w:val="28"/>
          <w:szCs w:val="28"/>
        </w:rPr>
        <w:t>Энергообеспеченность</w:t>
      </w:r>
      <w:proofErr w:type="spellEnd"/>
      <w:r w:rsidRPr="00D5637A">
        <w:rPr>
          <w:rFonts w:ascii="Times New Roman" w:hAnsi="Times New Roman" w:cs="Times New Roman"/>
          <w:sz w:val="28"/>
          <w:szCs w:val="28"/>
        </w:rPr>
        <w:t xml:space="preserve">. Регион обладает высокой </w:t>
      </w:r>
      <w:proofErr w:type="spellStart"/>
      <w:r w:rsidRPr="00D5637A">
        <w:rPr>
          <w:rFonts w:ascii="Times New Roman" w:hAnsi="Times New Roman" w:cs="Times New Roman"/>
          <w:sz w:val="28"/>
          <w:szCs w:val="28"/>
        </w:rPr>
        <w:t>энергообеспеченностью</w:t>
      </w:r>
      <w:proofErr w:type="spellEnd"/>
      <w:r w:rsidRPr="00D5637A">
        <w:rPr>
          <w:rFonts w:ascii="Times New Roman" w:hAnsi="Times New Roman" w:cs="Times New Roman"/>
          <w:sz w:val="28"/>
          <w:szCs w:val="28"/>
        </w:rPr>
        <w:t xml:space="preserve"> и наличием резервов электроэнергетических мощностей за счет работы Курской АЭС. Удельный вес региона в Российской Федерации по обеспечению электрической энергией, газом и паром составляет 2,75 %. Более 70 % вырабатываемой электроэнергии подается в 19 областей России. </w:t>
      </w:r>
    </w:p>
    <w:p w:rsidR="00D5637A" w:rsidRPr="00D5637A" w:rsidRDefault="00D5637A" w:rsidP="00D5637A">
      <w:pPr>
        <w:pStyle w:val="2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>4. Богатейшие запасы полезных ископаемых и плодородные почвы. Курская область расположена в центре Курской железорудной  провинции, известной как Курская магнитная аномалия, обеспечивая сырьем российскую и зарубежную металлургию. Регион обладает уникальным богатством - большими запасами черноземов (около 80 % земельных угодий). Благоприятные природно-климатические условия, наличие территорий для эффективного ведения сельского хозяйства позволяют обеспечивать продуктами питания не только  население Курской области, но и других субъектов Российской Федерации.</w:t>
      </w:r>
    </w:p>
    <w:p w:rsidR="00D5637A" w:rsidRPr="00D5637A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37A">
        <w:rPr>
          <w:rFonts w:ascii="Times New Roman" w:hAnsi="Times New Roman" w:cs="Times New Roman"/>
          <w:color w:val="auto"/>
          <w:sz w:val="28"/>
          <w:szCs w:val="28"/>
        </w:rPr>
        <w:t>5. Развитые торговые сети, в том числе региональные.</w:t>
      </w:r>
    </w:p>
    <w:p w:rsidR="00F16CD0" w:rsidRPr="00F16CD0" w:rsidRDefault="00D5637A" w:rsidP="00D563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37A">
        <w:rPr>
          <w:rFonts w:ascii="Times New Roman" w:hAnsi="Times New Roman" w:cs="Times New Roman"/>
          <w:color w:val="auto"/>
          <w:sz w:val="28"/>
          <w:szCs w:val="28"/>
        </w:rPr>
        <w:t xml:space="preserve">6. Курская область – один из промышленно развитых регионов России. </w:t>
      </w:r>
      <w:r w:rsidRPr="00F16CD0">
        <w:rPr>
          <w:rFonts w:ascii="Times New Roman" w:hAnsi="Times New Roman" w:cs="Times New Roman"/>
          <w:color w:val="auto"/>
          <w:sz w:val="28"/>
          <w:szCs w:val="28"/>
        </w:rPr>
        <w:t xml:space="preserve">Многоотраслевой хозяйственный комплекс, обеспеченность собственной электроэнергией способствуют созданию благоприятных условий для развития бизнеса. </w:t>
      </w:r>
    </w:p>
    <w:p w:rsidR="00D5637A" w:rsidRPr="00D5637A" w:rsidRDefault="00D5637A" w:rsidP="00D5637A">
      <w:pPr>
        <w:pStyle w:val="2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 xml:space="preserve">7. Область обладает развитой инфраструктурой социальной сферы, достаточно развитым интеллектуальным и инновационным потенциалом, который складывается из совокупности научно-технического потенциала вузов, предприятий. </w:t>
      </w:r>
    </w:p>
    <w:p w:rsidR="00D5637A" w:rsidRPr="00D5637A" w:rsidRDefault="00D5637A" w:rsidP="00D5637A">
      <w:pPr>
        <w:pStyle w:val="2c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37A">
        <w:rPr>
          <w:rFonts w:ascii="Times New Roman" w:hAnsi="Times New Roman" w:cs="Times New Roman"/>
          <w:sz w:val="28"/>
          <w:szCs w:val="28"/>
        </w:rPr>
        <w:t xml:space="preserve">8. Курская область богата своими культурными традициями. </w:t>
      </w:r>
    </w:p>
    <w:p w:rsidR="00D5637A" w:rsidRPr="00CE20EF" w:rsidRDefault="00D5637A" w:rsidP="00D56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B8D">
        <w:rPr>
          <w:rFonts w:ascii="Times New Roman" w:hAnsi="Times New Roman" w:cs="Times New Roman"/>
          <w:color w:val="auto"/>
          <w:sz w:val="28"/>
          <w:szCs w:val="28"/>
        </w:rPr>
        <w:t xml:space="preserve">На социально-экономическое развитие Курской области оказывают влияние </w:t>
      </w:r>
      <w:r w:rsidRPr="00CE20EF">
        <w:rPr>
          <w:rFonts w:ascii="Times New Roman" w:hAnsi="Times New Roman" w:cs="Times New Roman"/>
          <w:color w:val="auto"/>
          <w:sz w:val="28"/>
          <w:szCs w:val="28"/>
        </w:rPr>
        <w:t>внешние и внутренние ограничения экономического роста.</w:t>
      </w:r>
    </w:p>
    <w:p w:rsidR="00D5637A" w:rsidRPr="00CE20EF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0EF">
        <w:rPr>
          <w:rFonts w:ascii="Times New Roman" w:hAnsi="Times New Roman" w:cs="Times New Roman"/>
          <w:color w:val="auto"/>
          <w:sz w:val="28"/>
          <w:szCs w:val="28"/>
        </w:rPr>
        <w:t>Основные вызовы и проблемы социально-экономического развития Российской Федерации характерны и для Курской области.</w:t>
      </w:r>
    </w:p>
    <w:p w:rsidR="00D5637A" w:rsidRPr="007442F3" w:rsidRDefault="00D5637A" w:rsidP="00D56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0EF">
        <w:rPr>
          <w:rFonts w:ascii="Times New Roman" w:hAnsi="Times New Roman" w:cs="Times New Roman"/>
          <w:color w:val="auto"/>
          <w:sz w:val="28"/>
          <w:szCs w:val="28"/>
        </w:rPr>
        <w:t>Внешние макроэкономические факторы</w:t>
      </w:r>
      <w:r w:rsidRPr="007442F3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текущей геополитической обстановкой, в том числе в отношениях с Украиной, конъюнктурой на сырьевых рынках. В их числе: продолжение действия санкций со стороны ЕС и США, ограничение доступа к внешнему финансированию и к новым зарубежным технологическим решениям. </w:t>
      </w:r>
    </w:p>
    <w:p w:rsidR="00D5637A" w:rsidRPr="00CE20EF" w:rsidRDefault="00D5637A" w:rsidP="00D56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2F3">
        <w:rPr>
          <w:rFonts w:ascii="Times New Roman" w:hAnsi="Times New Roman" w:cs="Times New Roman"/>
          <w:color w:val="auto"/>
          <w:sz w:val="28"/>
          <w:szCs w:val="28"/>
        </w:rPr>
        <w:t xml:space="preserve">Наряду с внешними факторами существуют </w:t>
      </w:r>
      <w:r w:rsidRPr="00CE20EF">
        <w:rPr>
          <w:rFonts w:ascii="Times New Roman" w:hAnsi="Times New Roman" w:cs="Times New Roman"/>
          <w:color w:val="auto"/>
          <w:sz w:val="28"/>
          <w:szCs w:val="28"/>
        </w:rPr>
        <w:t>внутренние ограничения экономического роста.</w:t>
      </w:r>
    </w:p>
    <w:p w:rsidR="00D5637A" w:rsidRPr="007442F3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2F3">
        <w:rPr>
          <w:rFonts w:ascii="Times New Roman" w:hAnsi="Times New Roman" w:cs="Times New Roman"/>
          <w:color w:val="auto"/>
          <w:sz w:val="28"/>
          <w:szCs w:val="28"/>
        </w:rPr>
        <w:t xml:space="preserve">К основным вызовам и рискам, сдерживающим развитие региона, </w:t>
      </w:r>
      <w:r w:rsidRPr="007442F3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можно отнести:</w:t>
      </w:r>
    </w:p>
    <w:p w:rsidR="00D5637A" w:rsidRPr="007442F3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2F3">
        <w:rPr>
          <w:rFonts w:ascii="Times New Roman" w:hAnsi="Times New Roman" w:cs="Times New Roman"/>
          <w:color w:val="auto"/>
          <w:sz w:val="28"/>
          <w:szCs w:val="28"/>
        </w:rPr>
        <w:t>сокращение доли населения в трудоспособном возрасте в общей численности населения с одновременным увеличением доли населения старше трудоспособного возраста;</w:t>
      </w:r>
    </w:p>
    <w:p w:rsidR="00D5637A" w:rsidRPr="007442F3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2F3">
        <w:rPr>
          <w:rFonts w:ascii="Times New Roman" w:hAnsi="Times New Roman" w:cs="Times New Roman"/>
          <w:color w:val="auto"/>
          <w:sz w:val="28"/>
          <w:szCs w:val="28"/>
        </w:rPr>
        <w:t>высокая конкуренция по размещению инвестиционных проектов с соседними регионами, прежде всего с субъектами Центрального федерального округа;</w:t>
      </w:r>
    </w:p>
    <w:p w:rsidR="00D5637A" w:rsidRPr="007442F3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2F3">
        <w:rPr>
          <w:rFonts w:ascii="Times New Roman" w:hAnsi="Times New Roman" w:cs="Times New Roman"/>
          <w:color w:val="auto"/>
          <w:sz w:val="28"/>
          <w:szCs w:val="28"/>
        </w:rPr>
        <w:t>высокая степень износа основных фондов, слабые темпы технического перевооружения;</w:t>
      </w:r>
    </w:p>
    <w:p w:rsidR="00D5637A" w:rsidRPr="007442F3" w:rsidRDefault="00D5637A" w:rsidP="00D5637A">
      <w:pPr>
        <w:pStyle w:val="ab"/>
        <w:widowControl w:val="0"/>
        <w:tabs>
          <w:tab w:val="left" w:pos="252"/>
        </w:tabs>
        <w:ind w:firstLine="709"/>
        <w:jc w:val="both"/>
        <w:rPr>
          <w:b/>
        </w:rPr>
      </w:pPr>
      <w:r w:rsidRPr="007442F3">
        <w:t>несбалансированность региональной системы расселения, существенная дифференциация в развитии муниципальных образований;</w:t>
      </w:r>
    </w:p>
    <w:p w:rsidR="00D5637A" w:rsidRPr="007442F3" w:rsidRDefault="00D5637A" w:rsidP="00D563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2F3">
        <w:rPr>
          <w:rFonts w:ascii="Times New Roman" w:hAnsi="Times New Roman" w:cs="Times New Roman"/>
          <w:color w:val="auto"/>
          <w:sz w:val="28"/>
          <w:szCs w:val="28"/>
        </w:rPr>
        <w:t>недостаточный уровень инновационного развития экономики;</w:t>
      </w:r>
    </w:p>
    <w:p w:rsidR="00D5637A" w:rsidRPr="007442F3" w:rsidRDefault="00D5637A" w:rsidP="00D5637A">
      <w:pPr>
        <w:pStyle w:val="ab"/>
        <w:widowControl w:val="0"/>
        <w:tabs>
          <w:tab w:val="left" w:pos="252"/>
        </w:tabs>
        <w:ind w:firstLine="709"/>
        <w:jc w:val="both"/>
        <w:rPr>
          <w:b/>
        </w:rPr>
      </w:pPr>
      <w:r w:rsidRPr="007442F3">
        <w:t>ограниченность бюджетных средств.</w:t>
      </w:r>
    </w:p>
    <w:p w:rsidR="00FC5891" w:rsidRPr="00D704F0" w:rsidRDefault="00FC5891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22" w:rsidRPr="00931AA6" w:rsidRDefault="008779BD" w:rsidP="00B659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65922" w:rsidRPr="00931AA6">
        <w:rPr>
          <w:rFonts w:ascii="Times New Roman" w:hAnsi="Times New Roman" w:cs="Times New Roman"/>
          <w:b/>
          <w:sz w:val="28"/>
          <w:szCs w:val="28"/>
        </w:rPr>
        <w:t>Направления социально-экономического развития Курской области и целевые показатели трех вариантов долгосрочного прогноза, включая количественные показатели и качественные характеристики социально-экономического развития.</w:t>
      </w:r>
    </w:p>
    <w:p w:rsidR="0049744D" w:rsidRPr="007D5E28" w:rsidRDefault="0049744D" w:rsidP="0049744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E28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Социально-экономическая политика Администрации Курской области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>долгосрочную</w:t>
      </w:r>
      <w:r w:rsidRPr="007D5E28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перспективу будет определяться на основе приоритетов, сформулированных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D5E28">
        <w:rPr>
          <w:rFonts w:ascii="Times New Roman" w:hAnsi="Times New Roman" w:cs="Times New Roman"/>
          <w:color w:val="auto"/>
          <w:sz w:val="28"/>
          <w:szCs w:val="28"/>
        </w:rPr>
        <w:t>, в указах Президента Российской Федерации от 7 мая 2012 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№№ 596-606</w:t>
      </w:r>
      <w:r w:rsidRPr="007D5E28">
        <w:rPr>
          <w:rFonts w:ascii="Times New Roman" w:hAnsi="Times New Roman" w:cs="Times New Roman"/>
          <w:color w:val="auto"/>
          <w:sz w:val="28"/>
          <w:szCs w:val="28"/>
        </w:rPr>
        <w:t xml:space="preserve">, Указе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</w:t>
      </w:r>
      <w:r w:rsidRPr="007D5E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Указе Президента Российской Федерации от 13 мая 2017 года № 208 «О Стратегии экономической безопасности Российской Федерации на период до 2030 года»,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Основных направлениях деятельности Правительства Российской Федерации на период до 2024 года, С</w:t>
      </w:r>
      <w:r w:rsidRPr="007D5E28">
        <w:rPr>
          <w:rFonts w:ascii="Times New Roman" w:hAnsi="Times New Roman" w:cs="Times New Roman"/>
          <w:color w:val="auto"/>
          <w:sz w:val="28"/>
          <w:szCs w:val="28"/>
        </w:rPr>
        <w:t>тратегии социально-экономического развития Курской области на период до 2020 года, Инвестиционной стратегии Курской области на период до 2025 года.</w:t>
      </w:r>
    </w:p>
    <w:p w:rsidR="0049744D" w:rsidRPr="00DC7F18" w:rsidRDefault="0049744D" w:rsidP="00497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7F18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в Курской области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F18">
        <w:rPr>
          <w:rFonts w:ascii="Times New Roman" w:hAnsi="Times New Roman" w:cs="Times New Roman"/>
          <w:sz w:val="28"/>
          <w:szCs w:val="28"/>
        </w:rPr>
        <w:t>одготовлен План мероприятий по реализации Указа с определением сроков реализации мероприятий и ответственных исполнителей.</w:t>
      </w:r>
    </w:p>
    <w:p w:rsidR="0049744D" w:rsidRPr="006479D8" w:rsidRDefault="0049744D" w:rsidP="0049744D">
      <w:pPr>
        <w:pStyle w:val="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28 июня 2014 года №172-ФЗ «О стратегическом планировании в Российской Федерации» в Курской области </w:t>
      </w:r>
      <w:r w:rsidRPr="00416740">
        <w:rPr>
          <w:rFonts w:ascii="Times New Roman" w:hAnsi="Times New Roman" w:cs="Times New Roman"/>
          <w:color w:val="020C22"/>
          <w:sz w:val="28"/>
          <w:szCs w:val="28"/>
        </w:rPr>
        <w:t>организована разработка проекта Стратегии социально-экономического развития Курской области на период до 2030 года</w:t>
      </w:r>
      <w:r w:rsidRPr="00416740">
        <w:rPr>
          <w:rFonts w:ascii="Times New Roman" w:hAnsi="Times New Roman" w:cs="Times New Roman"/>
          <w:sz w:val="28"/>
          <w:szCs w:val="28"/>
        </w:rPr>
        <w:t xml:space="preserve"> </w:t>
      </w:r>
      <w:r w:rsidRPr="00416740">
        <w:rPr>
          <w:rFonts w:ascii="Times New Roman" w:hAnsi="Times New Roman" w:cs="Times New Roman"/>
          <w:color w:val="020C22"/>
          <w:sz w:val="28"/>
          <w:szCs w:val="28"/>
        </w:rPr>
        <w:t>и плана мероприятий по реализации Стратегии.</w:t>
      </w:r>
      <w:r w:rsidRPr="0041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4D" w:rsidRPr="00A41B60" w:rsidRDefault="0049744D" w:rsidP="00497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EF">
        <w:rPr>
          <w:rFonts w:ascii="Times New Roman" w:hAnsi="Times New Roman" w:cs="Times New Roman"/>
          <w:sz w:val="28"/>
          <w:szCs w:val="28"/>
        </w:rPr>
        <w:t>Основные направления развития Курской области</w:t>
      </w:r>
      <w:r w:rsidRPr="00A41B60">
        <w:rPr>
          <w:rFonts w:ascii="Times New Roman" w:hAnsi="Times New Roman" w:cs="Times New Roman"/>
          <w:sz w:val="28"/>
          <w:szCs w:val="28"/>
        </w:rPr>
        <w:t xml:space="preserve"> согласуются с </w:t>
      </w:r>
      <w:r w:rsidRPr="00A41B60">
        <w:rPr>
          <w:rFonts w:ascii="Times New Roman" w:hAnsi="Times New Roman" w:cs="Times New Roman"/>
          <w:sz w:val="28"/>
          <w:szCs w:val="28"/>
        </w:rPr>
        <w:lastRenderedPageBreak/>
        <w:t>направлениями развития Российской Федерации, национальными целями и ключевыми приоритетами на период до 2024 года, которые определены Указом Президента Российской Федерации от 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41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1B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60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1B60">
        <w:rPr>
          <w:rFonts w:ascii="Times New Roman" w:hAnsi="Times New Roman" w:cs="Times New Roman"/>
          <w:sz w:val="28"/>
          <w:szCs w:val="28"/>
        </w:rPr>
        <w:t xml:space="preserve">азвития Российской Федерации на период до 2024 года». </w:t>
      </w:r>
    </w:p>
    <w:p w:rsidR="0049744D" w:rsidRPr="00A41B60" w:rsidRDefault="0049744D" w:rsidP="00497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60">
        <w:rPr>
          <w:rFonts w:ascii="Times New Roman" w:hAnsi="Times New Roman" w:cs="Times New Roman"/>
          <w:sz w:val="28"/>
          <w:szCs w:val="28"/>
        </w:rPr>
        <w:t xml:space="preserve">В целях реализации 12 национальных проектов на территории Курской области </w:t>
      </w:r>
      <w:r>
        <w:rPr>
          <w:rFonts w:ascii="Times New Roman" w:hAnsi="Times New Roman" w:cs="Times New Roman"/>
          <w:sz w:val="28"/>
          <w:szCs w:val="28"/>
        </w:rPr>
        <w:t>планируется разработка региональных проектов по соответствующим стратегическим направлениям.</w:t>
      </w:r>
    </w:p>
    <w:p w:rsidR="0049744D" w:rsidRPr="008D0571" w:rsidRDefault="0049744D" w:rsidP="004974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FA">
        <w:rPr>
          <w:rFonts w:ascii="Times New Roman" w:hAnsi="Times New Roman" w:cs="Times New Roman"/>
          <w:snapToGrid w:val="0"/>
          <w:color w:val="auto"/>
          <w:sz w:val="28"/>
          <w:szCs w:val="28"/>
        </w:rPr>
        <w:t>Среди</w:t>
      </w:r>
      <w:r w:rsidRPr="00F94E18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E20E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приоритетных направлений социально-экономического развития К</w:t>
      </w:r>
      <w:r w:rsidRPr="008315FA">
        <w:rPr>
          <w:rFonts w:ascii="Times New Roman" w:hAnsi="Times New Roman" w:cs="Times New Roman"/>
          <w:snapToGrid w:val="0"/>
          <w:color w:val="auto"/>
          <w:sz w:val="28"/>
          <w:szCs w:val="28"/>
        </w:rPr>
        <w:t>урской области:</w:t>
      </w:r>
      <w:r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8D0571">
        <w:rPr>
          <w:rFonts w:ascii="Times New Roman" w:hAnsi="Times New Roman" w:cs="Times New Roman"/>
          <w:snapToGrid w:val="0"/>
          <w:color w:val="auto"/>
          <w:sz w:val="28"/>
          <w:szCs w:val="28"/>
        </w:rPr>
        <w:t>о</w:t>
      </w:r>
      <w:r w:rsidRPr="008D0571">
        <w:rPr>
          <w:rFonts w:ascii="Times New Roman" w:hAnsi="Times New Roman" w:cs="Times New Roman"/>
          <w:sz w:val="28"/>
          <w:szCs w:val="28"/>
        </w:rPr>
        <w:t>беспечение устойчивого естественного роста численности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3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0571">
        <w:rPr>
          <w:rFonts w:ascii="Times New Roman" w:hAnsi="Times New Roman" w:cs="Times New Roman"/>
          <w:sz w:val="28"/>
          <w:szCs w:val="28"/>
        </w:rPr>
        <w:t>повышение ожидаемой продолжительности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4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0571">
        <w:rPr>
          <w:rFonts w:ascii="Times New Roman" w:hAnsi="Times New Roman" w:cs="Times New Roman"/>
          <w:sz w:val="28"/>
          <w:szCs w:val="28"/>
        </w:rPr>
        <w:t>обеспечение устойчивого роста реальных доходов граждан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D0571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D0571">
        <w:rPr>
          <w:rFonts w:ascii="Times New Roman" w:hAnsi="Times New Roman" w:cs="Times New Roman"/>
          <w:sz w:val="28"/>
          <w:szCs w:val="28"/>
        </w:rPr>
        <w:t>обеспечение экономического роста, ускорение технологического развития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D0571">
        <w:rPr>
          <w:rFonts w:ascii="Times New Roman" w:hAnsi="Times New Roman" w:cs="Times New Roman"/>
          <w:sz w:val="28"/>
          <w:szCs w:val="28"/>
        </w:rPr>
        <w:t>обеспечение ускоренного внедрения цифровых технологий в экономике и социальной сфере Курской области.</w:t>
      </w:r>
    </w:p>
    <w:p w:rsidR="0049744D" w:rsidRPr="004334D6" w:rsidRDefault="0049744D" w:rsidP="0049744D">
      <w:pPr>
        <w:ind w:firstLine="709"/>
        <w:jc w:val="both"/>
        <w:rPr>
          <w:color w:val="auto"/>
          <w:sz w:val="28"/>
          <w:szCs w:val="28"/>
        </w:rPr>
      </w:pPr>
      <w:r w:rsidRPr="00267E19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данных направлений будет выполнение мероприятий государственных программ Курской области</w:t>
      </w:r>
      <w:r w:rsidRPr="004334D6">
        <w:rPr>
          <w:rFonts w:ascii="Times New Roman" w:hAnsi="Times New Roman" w:cs="Times New Roman"/>
          <w:color w:val="auto"/>
          <w:sz w:val="28"/>
          <w:szCs w:val="28"/>
        </w:rPr>
        <w:t>, а также проведение работы по реализации в Курской области основных направлений стратегического развития Российской Федерации в рамках проектного управления.</w:t>
      </w:r>
    </w:p>
    <w:p w:rsidR="00B65922" w:rsidRDefault="00B65922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A6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 экономического развития Курской области до 2030 года по трем вариантам представлены в таблице</w:t>
      </w:r>
      <w:r w:rsidR="005D7A59">
        <w:rPr>
          <w:rFonts w:ascii="Times New Roman" w:hAnsi="Times New Roman" w:cs="Times New Roman"/>
          <w:sz w:val="28"/>
          <w:szCs w:val="28"/>
        </w:rPr>
        <w:t xml:space="preserve"> № 1</w:t>
      </w:r>
      <w:r w:rsidRPr="00931AA6">
        <w:rPr>
          <w:rFonts w:ascii="Times New Roman" w:hAnsi="Times New Roman" w:cs="Times New Roman"/>
          <w:sz w:val="28"/>
          <w:szCs w:val="28"/>
        </w:rPr>
        <w:t>.</w:t>
      </w:r>
    </w:p>
    <w:p w:rsidR="005D7A59" w:rsidRDefault="005D7A59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9EC" w:rsidRDefault="00CB59EC" w:rsidP="00CB59EC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B432D5">
        <w:rPr>
          <w:rFonts w:ascii="Times New Roman" w:hAnsi="Times New Roman" w:cs="Times New Roman"/>
          <w:b/>
          <w:color w:val="auto"/>
          <w:sz w:val="28"/>
          <w:szCs w:val="28"/>
        </w:rPr>
        <w:t>Основные параметры государственных программ Курской области</w:t>
      </w:r>
    </w:p>
    <w:p w:rsidR="00CB59EC" w:rsidRPr="00C13ACF" w:rsidRDefault="00CB59EC" w:rsidP="00CB59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052">
        <w:rPr>
          <w:rFonts w:ascii="Times New Roman" w:hAnsi="Times New Roman" w:cs="Times New Roman"/>
          <w:color w:val="auto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2018 году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реализация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>27 государственных программ Курской области по приоритетным направлениям: новое качество жизни; инновационное развитие и модернизация экономи</w:t>
      </w:r>
      <w:r>
        <w:rPr>
          <w:rFonts w:ascii="Times New Roman" w:hAnsi="Times New Roman" w:cs="Times New Roman"/>
          <w:color w:val="auto"/>
          <w:sz w:val="28"/>
          <w:szCs w:val="28"/>
        </w:rPr>
        <w:t>ки; эффективное государство. И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>з них 2 новые государственные программы – «Создание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обучения» и «Формирование современной городской среды в Курской области».</w:t>
      </w:r>
    </w:p>
    <w:p w:rsidR="00CB59EC" w:rsidRPr="00C13ACF" w:rsidRDefault="00CB59EC" w:rsidP="00CB59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долгосрочном периоде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 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>государственных программ Курской облас</w:t>
      </w:r>
      <w:r>
        <w:rPr>
          <w:rFonts w:ascii="Times New Roman" w:hAnsi="Times New Roman" w:cs="Times New Roman"/>
          <w:color w:val="auto"/>
          <w:sz w:val="28"/>
          <w:szCs w:val="28"/>
        </w:rPr>
        <w:t>ти продолжится.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59EC" w:rsidRDefault="00CB59EC" w:rsidP="00CB59E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32D5">
        <w:rPr>
          <w:rFonts w:ascii="Times New Roman" w:eastAsia="Calibri" w:hAnsi="Times New Roman" w:cs="Times New Roman"/>
          <w:color w:val="auto"/>
          <w:sz w:val="28"/>
          <w:szCs w:val="28"/>
        </w:rPr>
        <w:t>Основные параметры государственных программ Курской области представлены в таблице № 2.</w:t>
      </w:r>
    </w:p>
    <w:p w:rsidR="00F93A86" w:rsidRDefault="00F93A86" w:rsidP="00F93A86">
      <w:pPr>
        <w:pStyle w:val="2"/>
        <w:keepNext w:val="0"/>
        <w:widowControl w:val="0"/>
        <w:ind w:left="142"/>
        <w:rPr>
          <w:rFonts w:ascii="Times New Roman" w:hAnsi="Times New Roman"/>
        </w:rPr>
      </w:pPr>
    </w:p>
    <w:p w:rsidR="00F93A86" w:rsidRPr="0034798B" w:rsidRDefault="00F93A86" w:rsidP="00F93A86"/>
    <w:p w:rsidR="00F93A86" w:rsidRDefault="00F93A86" w:rsidP="00F93A86">
      <w:pPr>
        <w:pStyle w:val="2"/>
        <w:keepNext w:val="0"/>
        <w:widowControl w:val="0"/>
        <w:ind w:left="142"/>
        <w:rPr>
          <w:rFonts w:ascii="Times New Roman" w:hAnsi="Times New Roman"/>
        </w:rPr>
        <w:sectPr w:rsidR="00F93A86" w:rsidSect="006611BA">
          <w:headerReference w:type="even" r:id="rId8"/>
          <w:headerReference w:type="default" r:id="rId9"/>
          <w:headerReference w:type="first" r:id="rId10"/>
          <w:pgSz w:w="11900" w:h="16840"/>
          <w:pgMar w:top="1134" w:right="1418" w:bottom="1134" w:left="1559" w:header="170" w:footer="113" w:gutter="0"/>
          <w:cols w:space="720"/>
          <w:noEndnote/>
          <w:titlePg/>
          <w:docGrid w:linePitch="360"/>
        </w:sectPr>
      </w:pPr>
    </w:p>
    <w:p w:rsidR="00F93A86" w:rsidRDefault="00F93A86" w:rsidP="00F93A86">
      <w:pPr>
        <w:pStyle w:val="2"/>
        <w:keepNext w:val="0"/>
        <w:widowControl w:val="0"/>
        <w:ind w:left="142"/>
        <w:jc w:val="right"/>
        <w:rPr>
          <w:rFonts w:ascii="Times New Roman" w:hAnsi="Times New Roman"/>
          <w:b w:val="0"/>
        </w:rPr>
      </w:pPr>
      <w:r w:rsidRPr="00F93A86">
        <w:rPr>
          <w:rFonts w:ascii="Times New Roman" w:hAnsi="Times New Roman"/>
          <w:b w:val="0"/>
        </w:rPr>
        <w:lastRenderedPageBreak/>
        <w:t>Таблица № 1</w:t>
      </w:r>
    </w:p>
    <w:p w:rsidR="00F93A86" w:rsidRPr="00F93A86" w:rsidRDefault="00F93A86" w:rsidP="00F93A86">
      <w:pPr>
        <w:rPr>
          <w:lang w:bidi="ar-SA"/>
        </w:rPr>
      </w:pPr>
    </w:p>
    <w:p w:rsidR="00F93A86" w:rsidRDefault="00F93A86" w:rsidP="00F93A86">
      <w:pPr>
        <w:pStyle w:val="2"/>
        <w:keepNext w:val="0"/>
        <w:widowControl w:val="0"/>
        <w:ind w:left="142"/>
        <w:rPr>
          <w:rFonts w:ascii="Times New Roman" w:hAnsi="Times New Roman"/>
        </w:rPr>
      </w:pPr>
      <w:r w:rsidRPr="00F93A86">
        <w:rPr>
          <w:rFonts w:ascii="Times New Roman" w:hAnsi="Times New Roman"/>
        </w:rPr>
        <w:t xml:space="preserve"> Показатели прогноза социально-экономического развития Курской области до 2030 года</w:t>
      </w:r>
    </w:p>
    <w:p w:rsidR="00A72220" w:rsidRPr="00A72220" w:rsidRDefault="00A72220" w:rsidP="00A72220">
      <w:pPr>
        <w:rPr>
          <w:lang w:bidi="ar-SA"/>
        </w:rPr>
      </w:pPr>
    </w:p>
    <w:p w:rsidR="00F93A86" w:rsidRPr="00F93A86" w:rsidRDefault="00F93A86" w:rsidP="00F93A86">
      <w:pPr>
        <w:ind w:firstLine="709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701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F93A86" w:rsidRPr="00F93A86" w:rsidTr="0048350E">
        <w:trPr>
          <w:trHeight w:val="403"/>
          <w:tblHeader/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10"/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1701" w:type="dxa"/>
            <w:vMerge w:val="restart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Варианты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3969" w:type="dxa"/>
            <w:gridSpan w:val="4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F93A86" w:rsidRPr="00F93A86" w:rsidTr="0048350E">
        <w:trPr>
          <w:tblHeader/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bookmarkEnd w:id="0"/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Default="00F93A86" w:rsidP="00483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Макроэкономические показатели</w:t>
            </w:r>
          </w:p>
          <w:p w:rsidR="00A72220" w:rsidRPr="00F93A86" w:rsidRDefault="00A72220" w:rsidP="00483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населения (среднегодовая)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1118,70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1121,46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1119,07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1111,41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1103,88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1096,65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1089,85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1083,39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1103,88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1096,65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1089,85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1083,39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1104,12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1097,30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1090,82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1084,65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99,79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Валовой региональный продукт (номинальный объем)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336,999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364,601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392,838*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405,525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422,469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443,081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468,899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492,044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426,704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450,230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474,620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501,523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427,341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451,961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480,558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509,675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102,6*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327,83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324,94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324,97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326,06</w:t>
            </w:r>
          </w:p>
        </w:tc>
        <w:tc>
          <w:tcPr>
            <w:tcW w:w="993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326,97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327,46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327,53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327,05</w:t>
            </w:r>
          </w:p>
        </w:tc>
        <w:tc>
          <w:tcPr>
            <w:tcW w:w="993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328,76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329,79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329,92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327,47</w:t>
            </w:r>
          </w:p>
        </w:tc>
        <w:tc>
          <w:tcPr>
            <w:tcW w:w="993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329,41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330,84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331,04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99,20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98,40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993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100,60</w:t>
            </w:r>
          </w:p>
        </w:tc>
        <w:tc>
          <w:tcPr>
            <w:tcW w:w="993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100,50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100,04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100,80</w:t>
            </w:r>
          </w:p>
        </w:tc>
        <w:tc>
          <w:tcPr>
            <w:tcW w:w="993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100,60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992" w:type="dxa"/>
            <w:vAlign w:val="bottom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100,06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на товары и услуги (среднегодовой)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107,65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на товары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108,11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(тарифов) на услуги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на товары и услуги (на конец года, к декабрю предыдущего года)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102,11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104,75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0A3C3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C3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Промышленность</w:t>
            </w:r>
          </w:p>
          <w:p w:rsidR="00CB59EC" w:rsidRPr="00F93A86" w:rsidRDefault="00CB59EC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trHeight w:val="213"/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270,5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335,2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344,6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355,9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367,8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350,1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391,9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352,5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оптовых цен промышленной продукции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Default="00F93A86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  <w:p w:rsidR="00CB59EC" w:rsidRPr="00F93A86" w:rsidRDefault="00CB59EC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добыча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обрабатывающие 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производство пищевых продуктов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Производство подакцизных товаров</w:t>
            </w:r>
          </w:p>
          <w:p w:rsidR="00CB59EC" w:rsidRPr="00F93A86" w:rsidRDefault="00CB59EC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Этиловый спирт из всех видов сырья – подакцизный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Алкогольная продукция с объемной долей этилового спирта от 9 %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1125,8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1352,1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1084,0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Пиво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147,88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185,5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подакцизных товаров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Этиловый спирт из всех видов сырья – подакцизный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Алкогольная продукция с объемной долей этилового спирта от 9 %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1125,8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1334,1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1142,0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Пиво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147,88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178,88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463,7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объема добычи полезных ископаемых (по видам):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left="14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Железные руды черных металлов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left="14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добычи руды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49763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48935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49861,0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51050,0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47451,0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47451,0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47451,0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бедная руда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48305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47 271,0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48170,0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46050,0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45074,0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46050,0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45074,0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46050,0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45074,0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богатая руда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1 664,0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1691,0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1401,0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Окисленные кварциты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56031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49 054,0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50801,0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48555,0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51682,0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51682,0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51682,0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CB59EC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Неметаллическое сырье, используемое в строительной  индустрии: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Окисленные кварциты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2 605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1117,0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Общераспространенные полезные ископаемые: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left="14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песок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м3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784,6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962,6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710,9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833,7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833,2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904,3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976,9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983,2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969,3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1043,2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</w:tr>
      <w:tr w:rsidR="00F93A86" w:rsidRPr="00F93A86" w:rsidTr="0048350E">
        <w:trPr>
          <w:trHeight w:val="74"/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песок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395,47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215,88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1094,77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952,11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992,94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1193,98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1191,65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1307,98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1426,95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1432,92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1407,75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1527,92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1624,39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глина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531,8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314,9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306,29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306,4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288,6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310,49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314,52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316,6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мел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реализации сельскохозяйственной продукции собственного производства сельскохозяйственными организациями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94,9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97,2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114,5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121,1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125,6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116,4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123,4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128,3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116,7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123,9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128,8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(снижения)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bCs/>
                <w:sz w:val="20"/>
                <w:szCs w:val="20"/>
              </w:rPr>
              <w:t>110,7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bCs/>
                <w:sz w:val="20"/>
                <w:szCs w:val="20"/>
              </w:rPr>
              <w:t>110,1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99,4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106,1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101,6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bCs/>
                <w:sz w:val="20"/>
                <w:szCs w:val="20"/>
              </w:rPr>
              <w:t>115,3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bCs/>
                <w:sz w:val="20"/>
                <w:szCs w:val="20"/>
              </w:rPr>
              <w:t>103,9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98,9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102,1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103,9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101,9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103,6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104,1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Cs/>
                <w:sz w:val="18"/>
                <w:szCs w:val="18"/>
              </w:rPr>
              <w:t>101,9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3587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4380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3830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3868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3907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4199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4340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4425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4430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4199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4340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4425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4430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Сахарная свекла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3372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5599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4286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4372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4420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4520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4610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4520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4610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Скот и птица (на убой в живом весе)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468,2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294,2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286,9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A86"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Инвестиции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капитал, в ценах соответствующих лет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инвестиций в основной капитал к предыдущему году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(за исключением бюджетных средств)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132,7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инвестиций в основной капитал (за исключением бюджетных средств) к предыдущему году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Merge w:val="restart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Строительство 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Ввод в эксплуатацию  жилых домов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кв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567,3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586,7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584,5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(снижения) к предыдущему году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Потребительский рынок товаров и услуг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179,8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189,6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197,2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233,6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260,8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233,6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259,6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222,2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234,6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249,1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263,0</w:t>
            </w:r>
          </w:p>
        </w:tc>
      </w:tr>
      <w:tr w:rsidR="00F93A86" w:rsidRPr="00F93A86" w:rsidTr="0048350E">
        <w:trPr>
          <w:trHeight w:val="187"/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Оборот общественного питания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6,4   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F93A86" w:rsidRPr="00F93A86" w:rsidTr="0048350E">
        <w:trPr>
          <w:trHeight w:val="199"/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F93A86" w:rsidRPr="00F93A86" w:rsidTr="0048350E">
        <w:trPr>
          <w:trHeight w:val="245"/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Merge w:val="restart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результаты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Прибыль прибыльных организаций для целей </w:t>
            </w:r>
            <w:r w:rsidRPr="00F9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млн.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68971,9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68218,97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77325,3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82556,2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83024,0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85250,8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85809,5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86623,3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87951,3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90113,6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92640,2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93394,3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88080,8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90740,1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93791,8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94978,6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из нее по разделам: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сельское, лесное хозяйство, охота, рыболовство и рыбоводство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17993,3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19102,2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15699,1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14740,1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14385,4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14845,6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15416,6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15627,5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16538,5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17208,2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16823,7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17954,9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18740,5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жизни</w:t>
            </w:r>
          </w:p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Фонд начисленной заработной платы работников организаций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95 619,2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99 634,0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106218,4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115398,5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121 666,9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127 323,6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132 825,6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139466,8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123 123,3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130 259,0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137 166,7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145 122,3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124 225,9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132 485,5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140 699,5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149000,8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(снижения)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Номинальная начисленная заработная плата работников организаций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23 921,2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25 326,6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27240,7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29592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31 095,6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32 450,7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33 802,0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35485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31 372,4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33 017,4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34 660,6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36656,3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31 612,9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33 516,3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35 440,3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37508,8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F93A86" w:rsidRPr="00F93A86" w:rsidTr="0048350E">
        <w:trPr>
          <w:trHeight w:val="337"/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наемных работнико</w:t>
            </w:r>
            <w:r w:rsidR="00CB59EC">
              <w:rPr>
                <w:rFonts w:ascii="Times New Roman" w:hAnsi="Times New Roman" w:cs="Times New Roman"/>
                <w:sz w:val="18"/>
                <w:szCs w:val="18"/>
              </w:rPr>
              <w:t>в в организациях, у индивидуаль</w:t>
            </w: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ных предпринимателей и физических лиц (среднемесячный доход от трудовой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22 202,0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22 628,0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23785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25838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27 151,0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28 334,0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29 514,0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30983</w:t>
            </w:r>
          </w:p>
        </w:tc>
      </w:tr>
      <w:tr w:rsidR="00F93A86" w:rsidRPr="00F93A86" w:rsidTr="0048350E">
        <w:trPr>
          <w:trHeight w:val="271"/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27 392,0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28 829,0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30 264,0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32006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27 602,0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29 264,0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30 944,0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32750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992" w:type="dxa"/>
            <w:vMerge w:val="restart"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F93A86" w:rsidRPr="00F93A86" w:rsidTr="0048350E">
        <w:trPr>
          <w:jc w:val="center"/>
        </w:trPr>
        <w:tc>
          <w:tcPr>
            <w:tcW w:w="4395" w:type="dxa"/>
            <w:vMerge/>
            <w:vAlign w:val="center"/>
          </w:tcPr>
          <w:p w:rsidR="00F93A86" w:rsidRPr="00F93A86" w:rsidRDefault="00F93A86" w:rsidP="0048350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48350E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483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</w:tbl>
    <w:p w:rsidR="00F93A86" w:rsidRPr="00F93A86" w:rsidRDefault="00F93A86" w:rsidP="00F93A86">
      <w:pPr>
        <w:ind w:right="57"/>
        <w:jc w:val="both"/>
        <w:rPr>
          <w:rFonts w:ascii="Times New Roman" w:hAnsi="Times New Roman" w:cs="Times New Roman"/>
        </w:rPr>
      </w:pPr>
    </w:p>
    <w:p w:rsidR="00F93A86" w:rsidRPr="00F93A86" w:rsidRDefault="00F93A86" w:rsidP="00F93A86">
      <w:pPr>
        <w:ind w:right="57"/>
        <w:jc w:val="both"/>
        <w:rPr>
          <w:rFonts w:ascii="Times New Roman" w:hAnsi="Times New Roman" w:cs="Times New Roman"/>
        </w:rPr>
      </w:pPr>
      <w:r w:rsidRPr="00F93A86">
        <w:rPr>
          <w:rFonts w:ascii="Times New Roman" w:hAnsi="Times New Roman" w:cs="Times New Roman"/>
        </w:rPr>
        <w:t>продолжение таблицы</w:t>
      </w:r>
    </w:p>
    <w:p w:rsidR="00F93A86" w:rsidRPr="00F93A86" w:rsidRDefault="00F93A86" w:rsidP="00F93A86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1134"/>
        <w:gridCol w:w="1701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F93A86" w:rsidRPr="00F93A86" w:rsidTr="00CB59EC">
        <w:trPr>
          <w:tblHeader/>
        </w:trPr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1701" w:type="dxa"/>
            <w:vMerge w:val="restart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Варианты</w:t>
            </w:r>
          </w:p>
        </w:tc>
        <w:tc>
          <w:tcPr>
            <w:tcW w:w="8221" w:type="dxa"/>
            <w:gridSpan w:val="8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F93A86" w:rsidRPr="00F93A86" w:rsidTr="00CB59EC">
        <w:trPr>
          <w:tblHeader/>
        </w:trPr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2029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2030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CB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Макроэкономические показатели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1077,14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1068,99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1068,99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1070,06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1077,14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1068,99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1068,99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1070,06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1071,13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1078,70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1073,00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1073,00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1075,15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1078,37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1081,61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1083,77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1085,94</w:t>
            </w:r>
          </w:p>
        </w:tc>
      </w:tr>
      <w:tr w:rsidR="00F93A86" w:rsidRPr="00F93A86" w:rsidTr="00CB59EC">
        <w:trPr>
          <w:trHeight w:val="117"/>
        </w:trPr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99,47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Валовой региональный продукт (номинальный объем)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532,336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561,090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593,464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622,495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656,121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696,621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727,070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778,289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542,854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574,149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609,509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640,765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677,301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721,524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757,265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813,461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552,000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583,853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622,663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658,631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701,630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750,544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794,234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855,661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327,59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327,66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327,72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327,79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327,85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327,92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327,98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328,05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329,98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330,05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330,11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330,18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330,25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330,31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330,45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330,58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331,13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331,23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331,33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331,43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331,53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331,63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331,83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332,03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100,06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на товары и услуги (среднегодовой)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rPr>
          <w:trHeight w:val="70"/>
        </w:trPr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на товары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(тарифов) на услуги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потребительских цен на товары и услуги (на конец года, к декабрю предыдущего года)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F93A86" w:rsidRPr="00A72220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A7222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Промышленность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498,0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532,4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556,3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590,7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409,2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428,1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449,2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503,4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540,3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559,7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596,1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436,9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491,6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512,9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549,9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612,7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оптовых цен промышленной продукции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 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102,3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102,2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101,7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 100,6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103,7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103,5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102,7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 100,6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добыча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обрабатывающие 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производство пищевых продуктов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подакцизных товаров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Этиловый спирт из всех видов сырья – подакцизный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Алкогольная продукция с объемной долей этилового спирта от 9 %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Пиво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603,8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</w:tr>
      <w:tr w:rsidR="00F93A86" w:rsidRPr="00F93A86" w:rsidTr="00CB59EC">
        <w:trPr>
          <w:trHeight w:val="325"/>
        </w:trPr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подакцизных товаров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Этиловый спирт из всех видов сырья – подакцизный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Алкогольная продукция с объемной долей этилового спирта от 9 %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Пиво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объема добычи полезных ископаемых (по видам):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left="14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Железные руды черных металлов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left="14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добычи руды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46675,0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бедная руда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45376,0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богатая руда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Окисленные кварциты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47956,0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Неметаллическое сырье, используемое в строительной  индустрии: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Окисленные кварциты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left="4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1157,0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Общераспространенные полезные ископаемые: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left="14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песок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м3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песок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1195,0</w:t>
            </w:r>
          </w:p>
        </w:tc>
      </w:tr>
      <w:tr w:rsidR="00F93A86" w:rsidRPr="00F93A86" w:rsidTr="00CB59EC">
        <w:trPr>
          <w:trHeight w:val="244"/>
        </w:trPr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1625,0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глина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мел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143,1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157,1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160,6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167,7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171,3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158,9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166,8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180,2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190,4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195,3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158,9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166,8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171,3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192,4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198,2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реализации сельскохозяйственной продукции собственного производства сельскохозяйственными организациями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160,4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165,1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151,5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160,9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(снижения)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3946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3985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4025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4030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4035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4435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4445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4460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4480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4435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4445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4460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4480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Сахарная свекла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4450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4510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4520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4530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4620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4640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4680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4620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4640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4680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Скот и птица (на убой в живом весе)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    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     287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Инвестиции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капитал, в ценах соответствующих лет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135,4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147,4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177,2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185,7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197,3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233,3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256,2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309,7</w:t>
            </w:r>
          </w:p>
        </w:tc>
      </w:tr>
      <w:tr w:rsidR="00F93A86" w:rsidRPr="00F93A86" w:rsidTr="00CB59EC">
        <w:tc>
          <w:tcPr>
            <w:tcW w:w="4254" w:type="dxa"/>
            <w:vMerge w:val="restart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инвестиций в основной капитал к предыдущему году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CB59EC">
        <w:tc>
          <w:tcPr>
            <w:tcW w:w="4254" w:type="dxa"/>
            <w:vMerge w:val="restart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174,1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196,5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211,7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</w:tr>
      <w:tr w:rsidR="00F93A86" w:rsidRPr="00F93A86" w:rsidTr="00CB59EC">
        <w:tc>
          <w:tcPr>
            <w:tcW w:w="4254" w:type="dxa"/>
            <w:vMerge w:val="restart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Индекс физического объема инвестиций в основной </w:t>
            </w:r>
            <w:r w:rsidRPr="00F9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 (за исключением бюджетных средств) к предыдущему году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3A86" w:rsidRPr="00F93A86" w:rsidTr="00CB59EC"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F93A86" w:rsidRPr="00F93A86" w:rsidTr="00CB59EC">
        <w:trPr>
          <w:trHeight w:val="126"/>
        </w:trPr>
        <w:tc>
          <w:tcPr>
            <w:tcW w:w="4254" w:type="dxa"/>
            <w:vMerge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CB59EC">
        <w:tc>
          <w:tcPr>
            <w:tcW w:w="4254" w:type="dxa"/>
            <w:vMerge w:val="restart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</w:tr>
      <w:tr w:rsidR="00F93A86" w:rsidRPr="00F93A86" w:rsidTr="00CB59EC"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работ, выполненных по виду деятельности «Строительство»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Ввод в эксплуатацию  жилых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588,5</w:t>
            </w:r>
          </w:p>
        </w:tc>
      </w:tr>
      <w:tr w:rsidR="00F93A86" w:rsidRPr="00F93A86" w:rsidTr="00CB59EC">
        <w:tc>
          <w:tcPr>
            <w:tcW w:w="4254" w:type="dxa"/>
            <w:vMerge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611,0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767,0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769,0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(снижения) к предыдущему году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Default="00F93A86" w:rsidP="001921D2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Потребительский рынок товаров и услуг</w:t>
            </w:r>
          </w:p>
          <w:p w:rsidR="00CB59EC" w:rsidRPr="00F93A86" w:rsidRDefault="00CB59EC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276,6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337,2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363,3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392,9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426,9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463,9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287,1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301,6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332,9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350,8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369,6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388,3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277,9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294,5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330,2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371,2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394,6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418,5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млрд.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123,1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Индекс-дефлятор цен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CB59E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результаты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Прибыль прибыльных организаций для целей бухгалтерского учета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87423,3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88273,3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89153,3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90073,3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91013,3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91973,3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92953,3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93953,3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94244,3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95244,3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96394,3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97594,3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98694,3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99804,3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101104,3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102554,3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96278,6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97628,6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99108,6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100608,6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101988,6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103338,6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104888,6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106498,6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i/>
                <w:sz w:val="18"/>
                <w:szCs w:val="18"/>
              </w:rPr>
              <w:t>из нее по разделам:</w:t>
            </w:r>
          </w:p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- сельское, лесное хозяйство, охота, рыболовство и рыбоводство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15500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17210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1134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93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92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18750</w:t>
            </w:r>
          </w:p>
        </w:tc>
      </w:tr>
      <w:tr w:rsidR="00F93A86" w:rsidRPr="00F93A86" w:rsidTr="00CB59EC">
        <w:tc>
          <w:tcPr>
            <w:tcW w:w="4254" w:type="dxa"/>
            <w:vAlign w:val="center"/>
          </w:tcPr>
          <w:p w:rsidR="00F93A86" w:rsidRPr="00F93A86" w:rsidRDefault="00F93A86" w:rsidP="00CB59E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жизни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Фонд начисленной заработной платы работников организаций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147 137,5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155 671,5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164 856,1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174 747,5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184 882,8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195 975,8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208 126,3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221 446,4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154 119,9</w:t>
            </w:r>
          </w:p>
        </w:tc>
        <w:tc>
          <w:tcPr>
            <w:tcW w:w="1134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163 983,6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174 478,5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185 994,1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197 897,7</w:t>
            </w:r>
          </w:p>
        </w:tc>
        <w:tc>
          <w:tcPr>
            <w:tcW w:w="993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210 761,1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224 882,1</w:t>
            </w:r>
          </w:p>
        </w:tc>
        <w:tc>
          <w:tcPr>
            <w:tcW w:w="992" w:type="dxa"/>
            <w:vAlign w:val="center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240 398,9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158 387,8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168 683,0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179 647,4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191 683,8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204 143,3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217 616,7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232 414,7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248 683,7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(снижения) 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Номинальная начисленная заработная плата работников организаций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37 429,2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39 592,1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41 919,7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44 426,0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46 993,3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49 802,9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52 880,1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56 253,2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38 921,2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41 403,9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44 044,9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46 942,5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49 936,8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53 172,1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56 711,9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60 600,8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39 859,9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42 438,0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45 182,9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48 195,7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51 313,1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54 683,3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58 366,8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62 415,0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105,9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A86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</w:tr>
      <w:tr w:rsidR="00F93A86" w:rsidRPr="00F93A86" w:rsidTr="00CB59EC">
        <w:trPr>
          <w:trHeight w:val="367"/>
        </w:trPr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32681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34569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36602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38790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41032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43485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46172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49117</w:t>
            </w:r>
          </w:p>
        </w:tc>
      </w:tr>
      <w:tr w:rsidR="00F93A86" w:rsidRPr="00F93A86" w:rsidTr="00CB59EC">
        <w:trPr>
          <w:trHeight w:val="273"/>
        </w:trPr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33984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36151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38457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40987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43602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46427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49517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52913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34803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37054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39451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42082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44804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47746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50962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54497</w:t>
            </w:r>
          </w:p>
        </w:tc>
      </w:tr>
      <w:tr w:rsidR="00F93A86" w:rsidRPr="00F93A86" w:rsidTr="00CB59EC">
        <w:tc>
          <w:tcPr>
            <w:tcW w:w="425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Темп роста (снижения)</w:t>
            </w:r>
          </w:p>
        </w:tc>
        <w:tc>
          <w:tcPr>
            <w:tcW w:w="1134" w:type="dxa"/>
            <w:vMerge w:val="restart"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Консервативный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F93A86" w:rsidRPr="00F93A86" w:rsidTr="00CB59EC">
        <w:tc>
          <w:tcPr>
            <w:tcW w:w="4254" w:type="dxa"/>
            <w:vMerge/>
            <w:vAlign w:val="center"/>
          </w:tcPr>
          <w:p w:rsidR="00F93A86" w:rsidRPr="00F93A86" w:rsidRDefault="00F93A86" w:rsidP="001921D2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3A86" w:rsidRPr="00F93A86" w:rsidRDefault="00F93A86" w:rsidP="001921D2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1134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3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992" w:type="dxa"/>
            <w:vAlign w:val="bottom"/>
          </w:tcPr>
          <w:p w:rsidR="00F93A86" w:rsidRPr="00F93A86" w:rsidRDefault="00F93A86" w:rsidP="0019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86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</w:tbl>
    <w:p w:rsidR="00F93A86" w:rsidRPr="00F93A86" w:rsidRDefault="00F93A86" w:rsidP="00F93A86">
      <w:pPr>
        <w:ind w:right="5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93A86" w:rsidRPr="00A72220" w:rsidRDefault="00F93A86" w:rsidP="00F93A86">
      <w:pPr>
        <w:ind w:right="57"/>
        <w:jc w:val="both"/>
        <w:rPr>
          <w:rFonts w:ascii="Times New Roman" w:hAnsi="Times New Roman" w:cs="Times New Roman"/>
        </w:rPr>
      </w:pPr>
      <w:r w:rsidRPr="00A72220">
        <w:rPr>
          <w:rFonts w:ascii="Times New Roman" w:hAnsi="Times New Roman" w:cs="Times New Roman"/>
        </w:rPr>
        <w:t>*- оценка</w:t>
      </w:r>
    </w:p>
    <w:p w:rsidR="005D7A59" w:rsidRPr="00F93A86" w:rsidRDefault="005D7A59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98" w:rsidRDefault="005D0898" w:rsidP="005D0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D0898" w:rsidSect="00CB59EC">
          <w:pgSz w:w="16840" w:h="11900" w:orient="landscape"/>
          <w:pgMar w:top="1559" w:right="1134" w:bottom="1418" w:left="1134" w:header="170" w:footer="113" w:gutter="0"/>
          <w:cols w:space="720"/>
          <w:noEndnote/>
          <w:titlePg/>
          <w:docGrid w:linePitch="360"/>
        </w:sectPr>
      </w:pPr>
    </w:p>
    <w:p w:rsidR="005D0898" w:rsidRPr="00A72220" w:rsidRDefault="005D0898" w:rsidP="005D0898">
      <w:pPr>
        <w:ind w:firstLine="709"/>
        <w:jc w:val="right"/>
        <w:rPr>
          <w:rFonts w:ascii="Times New Roman" w:hAnsi="Times New Roman" w:cs="Times New Roman"/>
        </w:rPr>
      </w:pPr>
      <w:r w:rsidRPr="00A72220">
        <w:rPr>
          <w:rFonts w:ascii="Times New Roman" w:hAnsi="Times New Roman" w:cs="Times New Roman"/>
        </w:rPr>
        <w:lastRenderedPageBreak/>
        <w:t>Таблица № 2</w:t>
      </w:r>
    </w:p>
    <w:p w:rsidR="005D0898" w:rsidRPr="00B432D5" w:rsidRDefault="005D0898" w:rsidP="00BC152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D0898" w:rsidRPr="00CE20EF" w:rsidRDefault="005D0898" w:rsidP="005D089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государственных программ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98" w:rsidRPr="00CE20EF" w:rsidRDefault="005D0898" w:rsidP="005D0898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a"/>
        <w:tblW w:w="14985" w:type="dxa"/>
        <w:tblLayout w:type="fixed"/>
        <w:tblLook w:val="04A0"/>
      </w:tblPr>
      <w:tblGrid>
        <w:gridCol w:w="533"/>
        <w:gridCol w:w="2834"/>
        <w:gridCol w:w="3117"/>
        <w:gridCol w:w="8501"/>
      </w:tblGrid>
      <w:tr w:rsidR="005D0898" w:rsidTr="008C44C3">
        <w:trPr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(с указанием реквизитов НПА)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</w:p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  <w:p w:rsidR="005D0898" w:rsidRDefault="005D0898" w:rsidP="008C44C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государственной программы 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Новое качество жизни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здравоохранения в Курской области» </w:t>
            </w:r>
          </w:p>
          <w:p w:rsidR="005D0898" w:rsidRDefault="005D0898" w:rsidP="00FC18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 (постановление Администрации Курской области  от 08.10.2013                       № 699-па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с последующими изменениями и дополнениями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от всех причин до 13,2 случая на 1000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материнской смертности до 15,0 случаев на 100 тыс. родившихся живыми;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младенческой смертности до 5,1 случая на 1000 родившихся живыми;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детей в возрасте 0 - 4 года до 6,6 случая на 1000 родившихся живыми;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от болезней системы кровообращения до 590,0 случаев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от транспортных травм всех видов до 19,9 случая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от дорожно-транспортных происшествий до 10,2 случая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от новообразований (в том числе от злокачественных) до 222,5 случая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от туберкулеза до 8,0 случаев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смертности населения (без показателей смертности от внешних причин) до 1034,0 случаев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потребления алкогольной продукции (в пересчете на абсолютный алкоголь) до 10,0 литра на душу населения в год;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распространенности потребления табака среди взрослого населения до 25,0%;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распространенности потребления табака среди детей и подростков до 15,0%;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зарегистрировано больных с диагнозом, установленным впервые в жизни, - активный туберкулез до 36 случаев на 100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обеспеченность врачами до 43,9 на 10 тыс.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соотношение врачей и среднего медицинского персонала 1:3,0;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до 200% от средней заработной платы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до 100% от средней заработной платы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средней заработной платы младшего медицинского персонала (персонала, обеспечивающего условия для предоставления медицинских услуг) до 100% от средней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заработной платы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ожидаемой продолжительности жизни при рождении до 72,8 лет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Курской области»</w:t>
            </w:r>
          </w:p>
          <w:p w:rsidR="005D0898" w:rsidRDefault="005D0898" w:rsidP="00FC18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от 15.10.2013                  № 737-па 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высокого качества российского образования в соответствии с меняющимися запросами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населения и перспективными задачами развития российского общества и экономики;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создание в Курской области новых мест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тельных организациях в соответствии с прогнозируемой потребностью и современными требованиями к условиям обучения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Реализация гарантии получения дошкольного образования;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отсутствие очереди на зачисление детей в возрасте от 3 до 7 лет в дошкольные образовательные организации;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охват программами дополнительного образования не менее 75 процентов детей в возрасте 5 - 18 лет;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изменение структуры образовательных программ среднего профессионального образования и высшего образования в соответствии с потребностями развития экономики региона;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FC18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новых мест в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в соответствии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мой потребностью и современными условиями обучения»  (срок реализации 2018-2025 годы) (постановление Администрации Курской области от 05.10.2017                      № 769-па 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 Курской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При реализации I этапа государственной программы (2018 - 2020 годы):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 2021 году 1 - 4-е классы и 10 - 11-е (12-е) классы в общеобразовательных организациях перейдут на обучение в одну смену;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будет удержан существующий односменный режим обучения;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при реализации II этапа государственной программы (2021 - 2025 годы):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 2024 году в одну смену станут обучаться все 5 - 9-е классы в общеобразовательных организациях;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 2025 году 100 процентов обучающихся перейдут из зданий общеобразовательных организаций с износом 50 процентов и выше в новые здания общеобразовательных организаций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 итогам реализации государственной программы: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достигнет 100%;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достигнет 100%;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удельный вес численности обучающихся, занимающихся в зданиях общеобразовательных организаций, требующих капитального ремонта или реконструкции, снизится до 6,57%;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удельный вес численности обучающихся в зданиях общеобразовательных организаций,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имеющих все виды благоустройства, достигнет 100%.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Будут созданы 11486 новых мест, в том числе: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10092 места для обучения детей в одну смену;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1585 мест для обучающихся, которые перейдут из зданий общеобразовательных организаций с высокой степенью износа в новые здания общеобразовательных организаций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 в Курской области»</w:t>
            </w:r>
          </w:p>
          <w:p w:rsidR="005D0898" w:rsidRDefault="005D0898" w:rsidP="00FC18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от 17.10.2013                      № 742-па 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благосостояния граждан - получателей мер социальной поддержки; повышение доступности социального обслуживания населения; улучшение демографической ситуации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бедности среди получателей мер социальной поддержки;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удовлетворение к 2021 году потребностей граждан пожилого возраста и инвалидов в постоянном постороннем уходе в сфере социального обслуживания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прозрачной и конкурентной среды в сфере социального обслуживания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к 2018 году средней заработной платы социальных работников до 100 процентов от средней заработной платы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значения суммарного коэффициента рождаемости к 2021 году не менее 1,501;</w:t>
            </w:r>
          </w:p>
          <w:p w:rsidR="005D0898" w:rsidRPr="00FE6E6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преобладание к 2021 </w:t>
            </w:r>
            <w:r w:rsidRPr="00FE6E6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году семейных форм устройства детей, оставшихся без попечения родителей;</w:t>
            </w:r>
          </w:p>
          <w:p w:rsidR="005D0898" w:rsidRPr="00FE6E6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6E6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прозрачной и конкурентной системы государственной поддержки социально ориентированных некоммерческих организаций;</w:t>
            </w:r>
          </w:p>
          <w:p w:rsidR="005D0898" w:rsidRPr="00FE6E6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6E6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объемов социальных услуг, оказываемых социально ориентированными некоммерческими организациями;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6E6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выполнение государственных обязательств по обеспечению 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других категорий граждан, установленных Федеральным </w:t>
            </w:r>
            <w:hyperlink r:id="rId11" w:history="1">
              <w:r w:rsidRPr="00FE6E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ar-SA"/>
                </w:rPr>
                <w:t>законом</w:t>
              </w:r>
            </w:hyperlink>
            <w:r w:rsidRPr="00FE6E6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 (срок реализации 2014-2021 годы)</w:t>
            </w:r>
          </w:p>
          <w:p w:rsidR="005D0898" w:rsidRDefault="005D0898" w:rsidP="00FC18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Администрации Курской области от 24.10.2013                      № 777-па 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(с последующими 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lastRenderedPageBreak/>
              <w:t>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Формирование условий устойчивого развития доступной среды для инвалидов и других маломобильных групп населения (далее – МГН)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межведомственного взаимодействия и координации работ соисполнителей программы,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информационно-телекоммуникационной сети «Интернет»;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доступности подвижного состава основных видов пассажирского, в том числе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наземного электрического транспорта для инвалидов и других МГН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доступности и качества реабилитационных услуг для инвалидов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числа инвалидов, обеспеченных техническими средствами реабилитации и услугами в рамках индивидуальной программы реабилитации;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системы должного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Курской области» </w:t>
            </w:r>
          </w:p>
          <w:p w:rsidR="005D0898" w:rsidRDefault="005D0898" w:rsidP="00FC18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 2014-2021 годы)  (постановление Администрации Курской области от 11.10.2013                         № 716-па </w:t>
            </w:r>
            <w:r w:rsidR="00FC18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овышение доступности жилья и качества жилищного обеспечения населения Курской области,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качества и надежности предоставления жилищно-коммунальных услуг населению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безопасной и комфортной среды проживания и жизнедеятельности человека;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условий для улучшения демографической ситуации, снижения социальной напряженности в обществе;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удовлетворенности населения Курской области уровнем жилищно-коммунального обслуживания;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экологической, санитарно-эпидемиологической безопасности и качества жизни населения Курской области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в Курской области»  (срок реализации 2018-2022 годы) </w:t>
            </w:r>
          </w:p>
          <w:p w:rsidR="005D0898" w:rsidRDefault="005D0898" w:rsidP="002530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Администрации Курской области от 31.08.2017                      № 684-па </w:t>
            </w:r>
            <w:r w:rsidR="002530A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качества и комфорта городской среды на территориях муниципальных образований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количества благоустроенных дворовых территорий;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количества благоустроенных общественных территорий;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количества благоустроенных мест массового отдыха населения (скверы, парки, набережные и т.д.);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благоустроенных дворовых территорий к 2022 году;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благоустроенных общественных территорий от общего количества общественных территорий к 2022 году;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количества реализованных проектов по благоустройству, отобранных на конкурс лучших практик для направления в Минстрой России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2530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занятости населения в Курской области» (срок реализации 2014-2021 годы) (постановление Администрации Курской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20.09.2013                       № 659-па </w:t>
            </w:r>
            <w:r w:rsidR="002530A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развития эффективного рынка труда Курской области; обеспечение государственных гарантий по содействию реализации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на полную, продуктивную и свободно избранную занятость; 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Снижение уровня безработицы в Курской области (по методологии МОТ) к 2021 году до 3,7;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предотвращение роста напряженности на рынке труда Курской области за счет уменьшения уровня регистрируемой безработицы до 0,88% к 2021 году и коэффициента напряженности до 0,9 единицы к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увеличение отношения численности граждан, снятых с регистрационного учета в связи 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трудоустройством, к общей численности граждан, обратившихся в органы службы занятости населения за содействием в поиске подходящей работы, до 65% к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 коэффициента частоты производственного травматизма до 1,79 к 2021 году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  <w:p w:rsidR="005D0898" w:rsidRDefault="005D0898" w:rsidP="005979F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от 11.10.2013                        № 723-па </w:t>
            </w:r>
            <w:r w:rsidR="005979F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Курской области от чрезвычайных ситуаций природного и техногенного характера, пожаров, происшествий на водных объектах, биологической и химической опасности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защищенности населения и территории от опасностей и угроз мирного и военного времени;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деятельности органов управления и сил гражданской обороны;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дальнейшего развития системы мониторинга и прогнозирования чрезвычайных ситуаций;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реагирования сил и средств территориальной подсистемы РСЧС Курской области на чрезвычайные ситуации;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системы безопасности людей на водных объектах;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необходимых условий для повышения защищенности личности, имущества Курской области от пожаров в целом, совершенствование материально-технической базы подразделений противопожарной службы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рисков чрезвычайных ситуаций природного и техногенного характера;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сокращение количества погибших и пострадавших в чрезвычайных ситуациях и на воде на 18 процентов;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 времени прибытия на место возникновения аварий, катастроф и стихийных бедствий на 15 процентов;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минимизация материального ущерба от чрезвычайных ситуаций на 9 процентов;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эффективной и скоординированной системы противодействия угрозам пожарной опасности;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совершенствование материально-технического оснащения подразделений пожарной охраны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количества пожаров на 18 процентов;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количества погибших при пожарах на 31 процент;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количества людей, получивших травму при пожаре, на 28 процентов;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предупреждения возникновения источников и очагов химического и биологического поражения, оснащения объектов, проводящих диагностику опасных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инфекционных заболеваний;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уменьшения потенциальных очагов биологического поражения;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областных учреждений диагностическими тест-системами и расходными материалами для проведения мониторинговых исследований на особо опасные инфекционные заболевания и химические загрязнители;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оснащение областных учреждений средствами индикации особо опасных инфекционных заболеваний и химических загрязнителей;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медицинских организаций Курской области укладками на случай возникновения особо опасных инфекционных заболеваний,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дезкамерами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, изолирующими носилками, автоклавами, СВЧ-установками для обеззараживания медицинских отходов;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нормативной правовой базы, регламентирующей порядок формирования и использования геоинформационных ресурсов, получаемых на основе РКД, порядок производства и оказания услуг органам государственной власти, организациям и населению по различным направлениям социально-экономического развития и жизнедеятельности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формирование базовых: организационных, информационных, технологических компонентов областной системы использования спутниковых навигационных технологий с использованием системы ГЛОНАСС и других результатов космической деятельности, обеспечивающих единство геоинформационного пространства Курской области, регламентированный информационный обмен и предоставление услуг, сопряженных с федеральными и ведомственными системами;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областных целевых систем мониторинга и управления (базовые, информационные) по наиболее актуальным для Курской области тематическим направлениям (отраслям) развития;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Комплексной системы обеспечения безопасности жизнедеятельности населения Курской области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Pr="00743D96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Курской области» </w:t>
            </w:r>
            <w:r w:rsidRPr="00743D96">
              <w:rPr>
                <w:rFonts w:ascii="Times New Roman" w:hAnsi="Times New Roman" w:cs="Times New Roman"/>
                <w:sz w:val="20"/>
                <w:szCs w:val="20"/>
              </w:rPr>
              <w:t>(срок реализации 2014-2021 годы)</w:t>
            </w:r>
          </w:p>
          <w:p w:rsidR="005D0898" w:rsidRDefault="005D0898" w:rsidP="00FC678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4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3D96">
              <w:rPr>
                <w:rFonts w:ascii="Times New Roman" w:hAnsi="Times New Roman" w:cs="Times New Roman"/>
                <w:sz w:val="20"/>
                <w:szCs w:val="20"/>
              </w:rPr>
              <w:t>(постановление Администрации Курской области от 08.10.2013                         № 700-па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C678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стратегической роли культуры как духовно- нравственного основания развития личности и государственного единства российского общества;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гармонизация межконфессиональных и межнациональных (межэтнических) отношений,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общероссийского гражданского самосознания и духовной общности многонационального народа Российской Федерации (российской нации)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наследия; укрепление единого культурного пространства региона;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качества государственного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бездуховности населения, повышения культурного уровня;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преодоление диспропорций, вызванных разной степенью обеспеченности населения области учреждениями культуры в городах и сельской местности;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стимулирование потребления культурных благ;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библиотек, музейных и театрально-концертных интернет-ресурсов;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межрегионального имиджа Курской области как привлекательного и гармоничного региона с высоким уровнем культуры;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гражданской идентичности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Курской области» </w:t>
            </w:r>
          </w:p>
          <w:p w:rsidR="005D0898" w:rsidRDefault="005D0898" w:rsidP="001F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от 11.10.2013                       № 724-па </w:t>
            </w:r>
            <w:r w:rsidR="001F5C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повышение мотивации жителей Курской области к регулярным занятиям физической культурой и спортом и ведению здорового образа жизни; создание условий для успешного выступления спортсменов Курской области на межрегиональных, всероссийских и международных спортивных соревнованиях и совершенствование системы подготовки спортивного резерва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устойчивого развития физической культуры и спорта в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достижение спортсменами Курской области высоких спортивных результатов на межрегиональных, всероссийских и международных спортивных соревнованиях, а также успешное проведение в Курской области спортивных мероприятий различного уровня;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жителей Курской области, систематически занимающихся физической культурой и спортом, в общей численности населения Курской области с 26,5% в 2012 году до 48,5% к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 с 35% в 2012 году до 45% в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уровня обеспеченности населения Курской области спортивными сооружениями,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исходя из единовременной пропускной способности объектов спорта, в том числе для лиц с ограниченными возможностями здоровья и инвалидов с 26% в 2012 году до 59,1% в 2021 году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эффективности реализации молодёжной политики, создание благоприятных условий для развития туризма и развитие системы оздоровления и отдыха детей в Курской области»  (срок реализации 2014-2021 годы) (постановление Администрации Курской области от 18.10.2013                        № 746-па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реализации молодежной политики; создание благоприятных условий для развития туризма; развитие системы оздоровления и отдыха детей в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молодых людей в возрасте от 14 до 30 лет, участвующих в деятельности молодежных общественных объединений;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туристского потока на территории Курской области;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сохранение доли оздоровленных детей на стационарных базах отдыха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архивного дела в Курской области» </w:t>
            </w:r>
          </w:p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 (постановление Администрации Курской области от 22.10.2013                       № 767-па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включение 62% архивных дел, хранящихся в государственных и муниципальных архивах Курской области, в автоматизированную систему централизованного государственного учета;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пополнение Архивного фонда Курской области документами, востребованными в исторической перспективе;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 до 10,0 % доли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доступности и качества предоставления государственных услуг в области архивного дела;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оперативности исполнения запросов пользователей по архивным документам для обеспечения гарантий их конституционных прав;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удаленного доступа пользователей к электронным копиям документов Архивного фонда Курской области через сеть "Интернет";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кадрового потенциала архивной отрасли, повышение профессионального уровня и творческой активности работников;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повышение эффективности системы государственного управления архивным делом в Курской области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Инновационное развитие и модернизация экономики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экономики и внешних связей Курской области»  (срок реализации 2014-2021 годы)</w:t>
            </w:r>
          </w:p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Администрации Курской области от 24.10.2013                        № 774-па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предпринимательского климата и условий для ведения бизнеса;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государственных и муниципальных услуг;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условий для эффективного использования инновационных технологий в интересах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и инновационного развития Курской области;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и муниципального управления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 (в 2014 - 2017 годах);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достижение целевых значений по «дорожным картам» целевых моделей упрощения процедур ведения бизнеса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не менее чем на 7,3% к предыдущему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доведение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2021 году до 23 процентов;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удовлетворенности граждан Курской области качеством предоставления государственных и муниципальных услуг с 65% в 2012 году до 90% в 2018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49 ед. в 2012 году до 125 ед. в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составит 9% в 2021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к 2015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 качественном выражении: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условий ведения бизнеса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превращение высокотехнологичных производств и отраслей экономики в значимый фактор экономического роста региона;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доступности и высокого качества предоставления государственных 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муниципальных услуг;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мероприятий на площадках Россотрудничества за рубежом;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качества действующей системы стратегических документов и создание практических механизмов по их реализации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промышленности в Курской области и повышение ее конкурентоспособности» </w:t>
            </w:r>
          </w:p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от 24.10.2013                           № 778-па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промышленного комплекса Курской области за счет опережающего роста обрабатывающих отраслей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Индекс промышленного производства обрабатывающих производств увеличится в 1,28 раза.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Объем инвестиций в основной капитал промышленных предприятий обрабатывающего комплекса составит 47,9 млрд. рублей.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На промышленных предприятиях обрабатывающего комплекса будет создано около 4,9 тыс. новых рабочих мест.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Объем налоговых поступлений в бюджеты всех уровней от промышленных предприятий обрабатывающего комплекса увеличится в 1,8 раза (с 6,8 млрд. рублей в 2013 году до 12,5 млрд. рублей в 2021 году).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Объем налоговых поступлений в областной бюджет от промышленных предприятий обрабатывающего комплекса увеличится в 1,9 раза (с 2,3 млрд. рублей в 2013 году до 4,4 млрд. рублей в 2021 году)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информационного общества в Курской области» (срок реализации 2014-2021 годы)  (постановление Администрации Курской области от 24.10.2013                       № 775-па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инфраструктуры информационного общества и электронного правительства в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Обеспечение функционирования единой информационно-коммуникационной среды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функционирование системы электронного документооборота органов исполнительной государственной власти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обеспечение возможности получения в электронном виде государственных (муниципальных) услуг (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), в том числе с элементами межведомственного взаимодействия;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функционирование регионального сегмента ГАС «Управление»;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обеспечение безопасности информационных систем органов исполнительной власти Курской области в соответствии с требованиями действующего законодательства;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Курской области, искажения или уничтожения обрабатываемых в них информационных ресурсов;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обеспечение стабильной работы информационных систем Курской области, что в свою очередь позволит органам исполнительной власти Курской области и их подведомственным учреждениям оказывать услуги населению на необходимом уровне;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lastRenderedPageBreak/>
              <w:t>построение единой сети по работе с обращениями граждан государственных органов и органов местного самоуправления;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создание условий для перехода на электронный документооборот в сфере управления региональными финансами за счет формирования единого информационного пространства и применения информационных и телекоммуникационных технологий;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выполнение условий для создания Ситуационного Центра Губернатора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создание Ситуационного Центра Губернатора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формирование в государственных органах Курской области современной информационно-коммуникационной инфраструктуры  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транспортной системы, обеспечение перевозки пассажиров в Курской области и безопасности дорожного движения» </w:t>
            </w:r>
          </w:p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(срок реализации 2014-2021 годы)  постановление Администрации Курской области от 22.10.2013                          № 768-па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доступности и качества услуг транспортного комплекса для населения.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безопасности дорожного движения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выполнения рейсов транспортом общего пользования;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числа погибших в дорожно-транспортных происшествиях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Курской области» (срок реализации 2014-2021 годы)</w:t>
            </w:r>
          </w:p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(постановление Администрации Курской области от 18.10.2013                         № 744-па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Pr="00CE20EF" w:rsidRDefault="005D0898" w:rsidP="008C44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</w:t>
            </w:r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продовольственной независимости региона в параметрах, заданных </w:t>
            </w:r>
            <w:hyperlink r:id="rId12" w:history="1">
              <w:r w:rsidRPr="00CE20E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ar-SA"/>
                </w:rPr>
                <w:t>Доктриной</w:t>
              </w:r>
            </w:hyperlink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продовольственной безопасности Российской Федерации, </w:t>
            </w:r>
            <w:proofErr w:type="spellStart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утвер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- </w:t>
            </w:r>
            <w:proofErr w:type="spellStart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жденной</w:t>
            </w:r>
            <w:proofErr w:type="spellEnd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Указом Президента Российской Федерации от 30 января 2010 г. № 120, </w:t>
            </w:r>
            <w:hyperlink r:id="rId13" w:history="1">
              <w:r w:rsidRPr="00CE20E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ar-SA"/>
                </w:rPr>
                <w:t>Законом</w:t>
              </w:r>
            </w:hyperlink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Курской области от 27 ноября 2009 года № 95-ЗКО «О продовольственной безопасности Курской области»;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</w:t>
            </w:r>
            <w:proofErr w:type="spellStart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конкурентоспосо</w:t>
            </w:r>
            <w:proofErr w:type="gramStart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  <w:proofErr w:type="spellEnd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proofErr w:type="gramEnd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ности</w:t>
            </w:r>
            <w:proofErr w:type="spellEnd"/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сельскохозяйственной продукции, производимой на </w:t>
            </w:r>
            <w:r w:rsidRPr="00CE20E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территории Курской области, 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внутреннем и внешнем рынках в рамках вступления России во Всемирную торговую организацию;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ускоренное импортозамещение в отношении мяса (свинины, птицы, крупного рогатого скота), молока, овощей открытого и закрытого грунта, семенного картофеля и плодово-ягодной продукции;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устойчивое развитие сельских территорий; повышение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вой устойчивости предприятий агропромышленного комплекса;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воспроизводство и повышение эффективности использования в сельском хозяйстве земельных и других ресурсов, экологизация производства;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стойкого эпизоотии-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ветеринарно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санитарного благополучия территории Курской области путем комплексного проведения ветеринарных мероприятий на территории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Увеличение производства продукции сельского хозяйства в хозяйствах всех категорий (в сопоставимых ценах) в 2021 г. по отношению к 2012 г. - на 33,2 %, пищевых продуктов - на 45 %;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среднегодового темпа прироста объема инвестиций в основной капитал сельского хозяйства в размере не менее 3,0 %;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среднего уровня рентабельности сельскохозяйственных организаций до 17,1 % (с учетом субсидий);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доведение соотношения уровней заработной платы в сельском хозяйстве и в среднем по экономике региона до 85%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«Воспроизводство и использование природных ресурсов, охрана окружающей среды в Курской области»</w:t>
            </w:r>
          </w:p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 (постановление Администрации Курской области от 18.10.2013                        № 748-па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(с последующими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lastRenderedPageBreak/>
              <w:t>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Сохранение, восстановление и рациональное использование природных ресурсов и охрана окружающей среды в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Сохранение уникальных уголков природы Курского края;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экологической безопасности на территории Курской области;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благоприятных условий для жизни населения и комфортной среды обитания водных биологических ресурсов;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рост к 2021 году отношения фактической добычи охотничьих ресурсов к установленным лимитам добычи по отдельным видам охотничьих ресурсов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лесного хозяйства в Курской области»</w:t>
            </w:r>
          </w:p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 от 27.09.2013                         № 682-па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исполнение переданных Российской Федерацией отдельных полномочий в области лесных отношений, повышение вклада лесов в социально-экономическое развитие Курской области, стабильное удовлетворение общественных потребностей в ресурсах и полезных свойствах леса, сохранение его глобальных функций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экологического потенциала</w:t>
            </w:r>
            <w:r>
              <w:rPr>
                <w:rFonts w:hint="eastAsia"/>
                <w:color w:val="auto"/>
                <w:lang w:bidi="ar-S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устойчивого управления лесами, сохранение и повышение их ресурсно-экологического состояния;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сохранение лесистости территории Курской области на уровне 8,2%;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сохранение площади ценных лесных насаждений в составе занятых лесными насаждениями земель лесного фонда на уровне 75,1%;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157,1 рубля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энергоэффективности и развитие энергетики в Курской области» </w:t>
            </w:r>
          </w:p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2014-2020 годы) (постановление Администрации Курской области от 21.10.2013                         № 757-па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эффективной энергосберегающей политики 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инвестиционно-инновационное обновление отрасли энергетики, направленное на обеспечение высокой энергетической, экономической и экологической эффективности производства, передачи, распределения и потребления электрической энергии;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условий, обеспечива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максимально эффективное использование потенциала энергетического сектора и топливно-энергетических ресурсов для роста экономики и повышения качества жизни населения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надежное снабжение потребителей Курской области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топливно-энергетическими ресурсами, повышение эффективности их использования и снижение антропогенного воздействия ТЭК на окружающую среду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Сокращение энергоемкости валового внутреннего продукта в 2020 году на 20% по отношению к 2014 году;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экономия электрической энергии в натуральном выражении в 2016 году, начиная с 2014 года, составит 500068 тыс.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экономия тепловой энергии в натуральном выражении в 2016 году, начиная с 2014 года, составит 425 тыс. Гкал;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экономия природного газа в натуральном выражении в 2016 году, начиная с 2014 года, составит 127747 тыс. 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срок подключения к электросети сократится с 276 до 90 дней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Эффективное государство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 (срок реализации 2015-2021 годы) (постановление Администрации Курской области от 30.10.2014                           № 688-па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беспечение долгосрочной сбалансированности и устойчивости бюджетной системы Курской области, оптимальной налоговой и долговой нагрузки, повышение эффективности использования бюджетных средств;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содействие устойчивому исполнению бюджетов муниципальных образований Курской области и повышению качества управления муниципальными финансами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финансовых условий для устойчивого экономического роста и поступления доходов в консолидированный бюджет Курской области, повышения уровня и качества жизни населения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перевод большей части средств областного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сохранение объема государственного долга Курской области в пределах не выше 50% утвержденного общего годового объема доходов областного бюджета без учета утвержденного объема безвозмездных поступлений;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качественного управления региональными и муниципальными финансами;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создание стимулов для развития доходного потенциала муниципальных образований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сокращение дифференциации муниципальных образований Курской области по уровню расчетной бюджетной обеспеченности;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сбалансированности местных бюджетов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эффективной организации внутреннего государственного финансового контроля за правомерным, целевым и эффективным использованием бюджетных средств;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расходования бюджетных средств и соблюдение финансовой дисциплины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государственным имуществом Курской области» </w:t>
            </w:r>
          </w:p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(срок реализации 2014-2021 годы) (постановление Администрации Курской области от 23.10.2013                               № 771-па</w:t>
            </w:r>
            <w:r w:rsidR="00366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управления и распоряжения государственным имуществом, земельными ресурсами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Оптимизация состава и структуры областного имущества в интересах обеспечения устойчивых предпосылок для экономического роста; 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управления областным имуществом, включая развитие конкурентоспособности и инвестиционной привлекательности компаний с участием Курской области;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совершенствование системы учета областного имущества в реестре государственного имущества Курской области;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поступлений в бюджет Курской области средств от использования и продажи областных объектов недвижимого имущества и земельных участков;</w:t>
            </w:r>
          </w:p>
          <w:p w:rsidR="005D0898" w:rsidRDefault="005D0898" w:rsidP="008C4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установление налогооблагаемой базы с учетом рыночной цены на землю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государственной политики в сфере печати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информации в Курской области»</w:t>
            </w:r>
          </w:p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реализации 2014-2021 годы) (постановление Администрации Курской области от 02.10.2013                      № 692-па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конституционного права граждан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объективной информации о деятельности Губернатора Курской области и органов исполнительной власти Курской области; сохранение и развитие государственного информационного ресурса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повышение доверия жителей Курской области к деятельности Губернатора Курской области и органов исполнительной власти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сохранение и развитие государственного информационного ресурса Курской области, укрепление конкурентоспособности государственных средств массовой информации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Курской области по оказанию содействия добровольному переселению в Российскую Федерацию соотечественников, проживающих за рубежом, на 2013-2021 годы</w:t>
            </w:r>
          </w:p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Администрации Курской области  от 29.08.2013                       № 570-па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и оказание содействия процессу добровольного переселения в Курскую область соотечественников, проживающих за рубежом; содействие социально-экономическому развитию Курской области;</w:t>
            </w:r>
          </w:p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 улучшению демографической ситуации в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численности населения Курской области на 6090 человек;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замещение 4630 вакантных рабочих мест соотечественниками трудоспособного возраста; сокращение дефицита трудовых ресурсов на 4630 работников трудоспособного возраста;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заселение территорий, в том числе сельских, за счет переселения в рамках Программы в сельскую местность 1035 семей переселенцев в количестве 2070 человек;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миграционного притока населения Курской области на 6090 человек за счет прибывших переселенцев;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рисков дефицита рабочей силы как сдерживающего фактора для экономического роста инвестиционных объектов и социальной сферы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демографической ситуации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социально-экономического развития Курской области. Примечание: финансирование мероприятий, предусмотренных Программой, также осуществляется за счет субсидий из федерального бюджета бюджету Курской области;</w:t>
            </w:r>
          </w:p>
          <w:p w:rsidR="005D0898" w:rsidRPr="00F3370A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выполнение обязательств Курской области в части выплат участнику Государственной </w:t>
            </w:r>
            <w:hyperlink r:id="rId14" w:history="1">
              <w:r w:rsidRPr="00F3370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ar-SA"/>
                </w:rPr>
                <w:t>программы</w:t>
              </w:r>
            </w:hyperlink>
            <w:r w:rsidRPr="00F3370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3370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информирование 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естного населения и соотечественников об условиях, порядке приема, обустройства и трудоустройства в рамках реализации Программы;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освоение предоставленной субсидии на ликвидационные мероприятия областного бюджетного учреждения «Центр временного размещения соотечественников»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366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эффективного исполнения полномочий в сфере юстиции» (срок реализации 2014-2021 годы) (постановление Администрации Курской области от 17.10.2013                     № 740-па (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с последующими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lastRenderedPageBreak/>
              <w:t>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Создание надлежащих условий для осуществления правосудия мировыми судьями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государственной регистрации актов гражданского состояния на территории Курской области в соответствии с законодательством Российской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Федерации;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качества предоставления государственных услуг в сфере государственной регистрации актов гражданского состояния, в том числе в электронном виде;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своевременное обеспечение федеральных судов общей юрисдикции в Российской Федерации кандидатами в присяжные заседатели от Курской области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Увеличение уровня удовлетворенности мировых судей Курской области организационным и материально-техническим обеспечением их деятельности к 2021 году с 70% до 85%;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уровня удовлетворенности населения услугами в сфере государственной регистрации актов гражданского состояния к 2019 году с 70% до 90%;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укомплектованность списков кандидатов в присяжные заседатели от Курской области для федеральных судов общей юрисдикции в Российской Федерации ежегодно на 100%</w:t>
            </w:r>
          </w:p>
        </w:tc>
      </w:tr>
      <w:tr w:rsidR="005D0898" w:rsidTr="008C4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правонарушений в Курской области»  (срок реализации 2017-2021 годы) </w:t>
            </w:r>
          </w:p>
          <w:p w:rsidR="005D0898" w:rsidRDefault="005D0898" w:rsidP="003668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Администрации Курской области от 02.12.2016                        № 915-па </w:t>
            </w:r>
            <w:r w:rsidR="0036685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>(с последующими изменениями и дополнениями)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сфере профилактики правонарушений, обеспечения общественного порядка, противодействия преступности, терроризму и экстремизму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безопасности граждан на территории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количества совершенных преступлений населением Курской области;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усиление роли административных комиссий в социальной профилактике правонарушений;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уровня правосознания и правовой культуры среди населения;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реализация права граждан на получение бесплатной юридической помощи;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предоставления мер социальной поддержки лицам, освободившимся из мест лишения свободы;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формирование в обществе нетерпимого отношения к незаконному потреблению наркотических средств и психотропных веществ, наркомании;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совершенствование системы социальной реабилитации и ресоциализации потребителей наркотиков, обязательного лечения лиц, осужденных без изоляции от общества;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заболеваемости синдромом зависимости от наркотиков;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количества правонарушений среди несовершеннолетних и молодежи;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содействие занятости отдельных категорий молодежи, испытывающих трудности в поиске работы;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работы по профилактике асоциальных проявлений среди несовершеннолетних;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защищенности населения Курской области от террористических актов и экстремистских проявлений;</w:t>
            </w:r>
          </w:p>
          <w:p w:rsidR="005D0898" w:rsidRDefault="005D0898" w:rsidP="008C44C3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</w:t>
            </w:r>
          </w:p>
        </w:tc>
      </w:tr>
    </w:tbl>
    <w:p w:rsidR="00BC1528" w:rsidRDefault="00BC1528" w:rsidP="00BC1528"/>
    <w:p w:rsidR="005D0898" w:rsidRDefault="005D0898" w:rsidP="005D08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D0898" w:rsidSect="00A72220">
          <w:pgSz w:w="16840" w:h="11900" w:orient="landscape"/>
          <w:pgMar w:top="1134" w:right="1134" w:bottom="1418" w:left="1134" w:header="170" w:footer="113" w:gutter="0"/>
          <w:cols w:space="720"/>
          <w:noEndnote/>
          <w:titlePg/>
          <w:docGrid w:linePitch="360"/>
        </w:sectPr>
      </w:pPr>
    </w:p>
    <w:p w:rsidR="005D0898" w:rsidRPr="00931AA6" w:rsidRDefault="005F4BE6" w:rsidP="005D08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5D0898" w:rsidRPr="00931AA6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развития </w:t>
      </w:r>
      <w:r w:rsidR="005D0898">
        <w:rPr>
          <w:rFonts w:ascii="Times New Roman" w:hAnsi="Times New Roman" w:cs="Times New Roman"/>
          <w:b/>
          <w:sz w:val="28"/>
          <w:szCs w:val="28"/>
        </w:rPr>
        <w:t xml:space="preserve">по отдельным видам экономической деятельности </w:t>
      </w:r>
      <w:r w:rsidR="005D0898" w:rsidRPr="00931AA6">
        <w:rPr>
          <w:rFonts w:ascii="Times New Roman" w:hAnsi="Times New Roman" w:cs="Times New Roman"/>
          <w:b/>
          <w:sz w:val="28"/>
          <w:szCs w:val="28"/>
        </w:rPr>
        <w:t>на долгосрочный период.</w:t>
      </w: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BE6">
        <w:rPr>
          <w:rFonts w:ascii="Times New Roman" w:hAnsi="Times New Roman" w:cs="Times New Roman"/>
          <w:b/>
          <w:i/>
          <w:sz w:val="28"/>
          <w:szCs w:val="28"/>
        </w:rPr>
        <w:t>Численность населения</w:t>
      </w:r>
    </w:p>
    <w:p w:rsidR="005D0898" w:rsidRPr="00A15A54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54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в целом по области за 2018 год оценивается на уровне 1111,41 тыс. человек со снижением к 2017 году на 0,68 %. </w:t>
      </w:r>
    </w:p>
    <w:p w:rsidR="005D0898" w:rsidRPr="00A15A54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54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области в 2030 году по консервативному и базовому варианту составит порядка 1071,13 тыс. человек, по целевому варианту - 1085,94 тыс. человек. </w:t>
      </w:r>
      <w:r w:rsidRPr="00A15A54">
        <w:rPr>
          <w:rFonts w:ascii="Times New Roman" w:hAnsi="Times New Roman" w:cs="Times New Roman"/>
          <w:color w:val="auto"/>
          <w:sz w:val="28"/>
          <w:szCs w:val="28"/>
        </w:rPr>
        <w:t xml:space="preserve">Впервые с 2011 года по итогам 2017 года в области сложилась миграционная убыль населения, которая составила 988 человек. </w:t>
      </w:r>
      <w:r w:rsidRPr="00A15A54">
        <w:rPr>
          <w:rFonts w:ascii="Times New Roman" w:hAnsi="Times New Roman" w:cs="Times New Roman"/>
          <w:sz w:val="28"/>
          <w:szCs w:val="28"/>
        </w:rPr>
        <w:t>Прогнозные значения миграции до 2030 года планируются в среднем на уровне 2017 года с незначительным увеличением по целевому варианту прогноза.</w:t>
      </w:r>
    </w:p>
    <w:p w:rsidR="005D0898" w:rsidRPr="002760E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BE6">
        <w:rPr>
          <w:rFonts w:ascii="Times New Roman" w:hAnsi="Times New Roman" w:cs="Times New Roman"/>
          <w:b/>
          <w:i/>
          <w:sz w:val="28"/>
          <w:szCs w:val="28"/>
        </w:rPr>
        <w:t>Промышленность</w:t>
      </w:r>
    </w:p>
    <w:p w:rsidR="005D0898" w:rsidRPr="00AC6B1B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1B">
        <w:rPr>
          <w:rFonts w:ascii="Times New Roman" w:hAnsi="Times New Roman" w:cs="Times New Roman"/>
          <w:sz w:val="28"/>
          <w:szCs w:val="28"/>
        </w:rPr>
        <w:t xml:space="preserve">Главной целью развития промышленности Курской области до 2030 года является достижение устойчивых темпов роста объемов производства на основе повышения конкурентоспособности отраслей за счет модернизации производственных мощностей и повышения эффективности их использования, развития  инновационной деятельности предприятий. </w:t>
      </w:r>
    </w:p>
    <w:p w:rsidR="005D0898" w:rsidRPr="00CC5033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33">
        <w:rPr>
          <w:rFonts w:ascii="Times New Roman" w:hAnsi="Times New Roman" w:cs="Times New Roman"/>
          <w:sz w:val="28"/>
          <w:szCs w:val="28"/>
        </w:rPr>
        <w:t xml:space="preserve">Перспективным направлением в развитии энергетики области является реализация проекта по строительству станции замещения Курская АЭС-2, отвечающей современным требованиям безопасности, с увеличенным сроком службы энергоблоков (60 лет против 45 на действующих) и большей установленной мощностью (на 225 МВт каждый). Ввод в эксплуатацию двух первых энергоблоков запланирован на конец 2022 и в 2023 годов с целью замещения блоков № 1 и № 2 действующей станции. </w:t>
      </w:r>
    </w:p>
    <w:p w:rsidR="005D0898" w:rsidRPr="00585884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84">
        <w:rPr>
          <w:rFonts w:ascii="Times New Roman" w:hAnsi="Times New Roman" w:cs="Times New Roman"/>
          <w:sz w:val="28"/>
          <w:szCs w:val="28"/>
        </w:rPr>
        <w:t>Ведущим предприятием отрасли является ПАО «Михайловский ГОК», входящее в состав холдинга «</w:t>
      </w:r>
      <w:proofErr w:type="spellStart"/>
      <w:r w:rsidRPr="00585884"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 w:rsidRPr="00585884">
        <w:rPr>
          <w:rFonts w:ascii="Times New Roman" w:hAnsi="Times New Roman" w:cs="Times New Roman"/>
          <w:sz w:val="28"/>
          <w:szCs w:val="28"/>
        </w:rPr>
        <w:t xml:space="preserve">». Производимая продукция - руда железная, доменная, </w:t>
      </w:r>
      <w:proofErr w:type="spellStart"/>
      <w:r w:rsidRPr="00585884">
        <w:rPr>
          <w:rFonts w:ascii="Times New Roman" w:hAnsi="Times New Roman" w:cs="Times New Roman"/>
          <w:sz w:val="28"/>
          <w:szCs w:val="28"/>
        </w:rPr>
        <w:t>аглоруда</w:t>
      </w:r>
      <w:proofErr w:type="spellEnd"/>
      <w:r w:rsidRPr="00585884">
        <w:rPr>
          <w:rFonts w:ascii="Times New Roman" w:hAnsi="Times New Roman" w:cs="Times New Roman"/>
          <w:sz w:val="28"/>
          <w:szCs w:val="28"/>
        </w:rPr>
        <w:t>, железорудный концентрат, окатыши, окисленные кварциты. Михайловский ГОК - второй по величине комплекс по добыче и обогащению железной руды в России.</w:t>
      </w:r>
    </w:p>
    <w:p w:rsidR="005D0898" w:rsidRPr="00585884" w:rsidRDefault="005D0898" w:rsidP="005D08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84">
        <w:rPr>
          <w:rFonts w:ascii="Times New Roman" w:hAnsi="Times New Roman" w:cs="Times New Roman"/>
          <w:sz w:val="28"/>
          <w:szCs w:val="28"/>
        </w:rPr>
        <w:t>Развитие в долгосрочной перспективе отрасли «добыча полезных ископаемых» связано с инвестиционными проектами ПАО «Михайловский ГОК».</w:t>
      </w:r>
    </w:p>
    <w:p w:rsidR="005D0898" w:rsidRPr="00585884" w:rsidRDefault="005D0898" w:rsidP="005D08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84">
        <w:rPr>
          <w:rFonts w:ascii="Times New Roman" w:hAnsi="Times New Roman" w:cs="Times New Roman"/>
          <w:sz w:val="28"/>
          <w:szCs w:val="28"/>
        </w:rPr>
        <w:t>В 2017 году предприятием завершена реализация инвестиционного проекта строительства комплекса по приему концентрата с Лебединского ГОКа, что позволит полностью загрузить мощности обжиговых машин и сохранить на рынке позиции ведущего поставщика товарного концентрата.</w:t>
      </w:r>
    </w:p>
    <w:p w:rsidR="005D0898" w:rsidRPr="00585884" w:rsidRDefault="005D0898" w:rsidP="005D089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84">
        <w:rPr>
          <w:rFonts w:ascii="Times New Roman" w:hAnsi="Times New Roman" w:cs="Times New Roman"/>
          <w:sz w:val="28"/>
          <w:szCs w:val="28"/>
        </w:rPr>
        <w:t xml:space="preserve">В настоящее время Михайловским ГОКом реализуется инвестиционный проект «Строительство дробильно-конвейерного </w:t>
      </w:r>
      <w:r w:rsidRPr="00585884">
        <w:rPr>
          <w:rFonts w:ascii="Times New Roman" w:hAnsi="Times New Roman" w:cs="Times New Roman"/>
          <w:sz w:val="28"/>
          <w:szCs w:val="28"/>
        </w:rPr>
        <w:lastRenderedPageBreak/>
        <w:t>комплекса на северо-восточном и юго-восточном борту карьера», что позволит обеспечить ежегодное производство магнетитового концентрата в объеме не менее 17,0 млн. тонн в год.</w:t>
      </w:r>
    </w:p>
    <w:p w:rsidR="005D0898" w:rsidRPr="001D73FD" w:rsidRDefault="005D0898" w:rsidP="005D0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3FD">
        <w:rPr>
          <w:rFonts w:ascii="Times New Roman" w:hAnsi="Times New Roman" w:cs="Times New Roman"/>
          <w:sz w:val="28"/>
          <w:szCs w:val="28"/>
        </w:rPr>
        <w:t>В целях решения задачи диверсификации структуры промышленности на основе опережающего развития обрабатывающих производств будет продолжена реализация проектов в приоритетных отраслях: производство лекарственных средств, производство резиновых и пластмассовых изделий, химическое производство, производство электрического оборудования, электронных и оптических изделий, производство бумаги и бумажной массы, производство пищевых продуктов. Инвестиционные проекты ОАО «</w:t>
      </w:r>
      <w:proofErr w:type="spellStart"/>
      <w:r w:rsidRPr="001D73FD">
        <w:rPr>
          <w:rFonts w:ascii="Times New Roman" w:hAnsi="Times New Roman" w:cs="Times New Roman"/>
          <w:sz w:val="28"/>
          <w:szCs w:val="28"/>
        </w:rPr>
        <w:t>Фармстандарт-Лексредства</w:t>
      </w:r>
      <w:proofErr w:type="spellEnd"/>
      <w:r w:rsidRPr="001D73FD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1D73FD">
        <w:rPr>
          <w:rFonts w:ascii="Times New Roman" w:hAnsi="Times New Roman" w:cs="Times New Roman"/>
          <w:sz w:val="28"/>
          <w:szCs w:val="28"/>
        </w:rPr>
        <w:t>Курскрезинотехника</w:t>
      </w:r>
      <w:proofErr w:type="spellEnd"/>
      <w:r w:rsidRPr="001D73FD">
        <w:rPr>
          <w:rFonts w:ascii="Times New Roman" w:hAnsi="Times New Roman" w:cs="Times New Roman"/>
          <w:sz w:val="28"/>
          <w:szCs w:val="28"/>
        </w:rPr>
        <w:t>», группы предприятий «ГОТЭК», ООО НПО «Композит», АО «Курский электроаппаратный завод», ООО «</w:t>
      </w:r>
      <w:proofErr w:type="spellStart"/>
      <w:r w:rsidRPr="001D73FD">
        <w:rPr>
          <w:rFonts w:ascii="Times New Roman" w:hAnsi="Times New Roman" w:cs="Times New Roman"/>
          <w:sz w:val="28"/>
          <w:szCs w:val="28"/>
        </w:rPr>
        <w:t>Совтест</w:t>
      </w:r>
      <w:proofErr w:type="spellEnd"/>
      <w:r w:rsidRPr="001D73FD">
        <w:rPr>
          <w:rFonts w:ascii="Times New Roman" w:hAnsi="Times New Roman" w:cs="Times New Roman"/>
          <w:sz w:val="28"/>
          <w:szCs w:val="28"/>
        </w:rPr>
        <w:t xml:space="preserve"> АТЕ» и ряда других предприятий обрабатывающего комплекса направлены на импортозамещение отдельных видов продукции, модернизацию производств, повышение конкурентоспособности выпускаемой продукции и эффективности энергопотребления. </w:t>
      </w:r>
    </w:p>
    <w:p w:rsidR="005D0898" w:rsidRPr="001D73F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FD">
        <w:rPr>
          <w:rFonts w:ascii="Times New Roman" w:hAnsi="Times New Roman" w:cs="Times New Roman"/>
          <w:sz w:val="28"/>
          <w:szCs w:val="28"/>
        </w:rPr>
        <w:t>Новым инструментом стимулирования промышленной деятельности в сфере обрабатывающих производств является региональный государственный фонд развития промышленности, который совместно с Федеральным фондом предоставляет предприятиям льготные займы на реализацию инвестиционных проектов по модернизации и развитию производства, разработке и выпуску импортозамещающей продукции.</w:t>
      </w:r>
    </w:p>
    <w:p w:rsidR="005D0898" w:rsidRPr="007B1F48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 xml:space="preserve">Реализация этих стратегических задач будет способствовать в перспективе росту объемов производства. В 2019-2030 годах по базовому варианту прогнозируется рост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(в сопоставимых ценах) </w:t>
      </w:r>
      <w:r w:rsidRPr="007B1F48">
        <w:rPr>
          <w:rFonts w:ascii="Times New Roman" w:hAnsi="Times New Roman" w:cs="Times New Roman"/>
          <w:sz w:val="28"/>
          <w:szCs w:val="28"/>
        </w:rPr>
        <w:t>на 15,2 % к уровню 2018 года, по целевому варианту - на 20,4 %, по консервативному варианту - на 7,5 %.</w:t>
      </w:r>
    </w:p>
    <w:p w:rsidR="00325F7B" w:rsidRDefault="00325F7B" w:rsidP="005D08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BE6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:rsidR="005D0898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48">
        <w:rPr>
          <w:rFonts w:ascii="Times New Roman" w:hAnsi="Times New Roman" w:cs="Times New Roman"/>
          <w:sz w:val="28"/>
          <w:szCs w:val="28"/>
        </w:rPr>
        <w:t>Аграрная политика области направлена на повышение экономической эффективности агропромышленного комплекса области за счет роста объемов производства и реализации сельхозпродукции в рамках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области».</w:t>
      </w:r>
    </w:p>
    <w:p w:rsidR="005D0898" w:rsidRPr="00F64406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06">
        <w:rPr>
          <w:rFonts w:ascii="Times New Roman" w:hAnsi="Times New Roman" w:cs="Times New Roman"/>
          <w:sz w:val="28"/>
          <w:szCs w:val="28"/>
        </w:rPr>
        <w:t>Стратегической задачей агропромышленного комплекса остается увеличение производства качественной, конкурентоспособной и необходимой рынку продукции растениеводства 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ее переработкой</w:t>
      </w:r>
      <w:r w:rsidRPr="00F64406">
        <w:rPr>
          <w:rFonts w:ascii="Times New Roman" w:hAnsi="Times New Roman" w:cs="Times New Roman"/>
          <w:sz w:val="28"/>
          <w:szCs w:val="28"/>
        </w:rPr>
        <w:t>.</w:t>
      </w:r>
    </w:p>
    <w:p w:rsidR="005D0898" w:rsidRPr="00E23428" w:rsidRDefault="005D0898" w:rsidP="005D0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428">
        <w:rPr>
          <w:rFonts w:ascii="Times New Roman" w:hAnsi="Times New Roman" w:cs="Times New Roman"/>
          <w:color w:val="auto"/>
          <w:sz w:val="28"/>
          <w:szCs w:val="28"/>
        </w:rPr>
        <w:t xml:space="preserve">ООО АПХ «Мираторг» продолжит реализацию: </w:t>
      </w:r>
    </w:p>
    <w:p w:rsidR="005D0898" w:rsidRPr="00E23428" w:rsidRDefault="005D0898" w:rsidP="005D0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2342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масштабного проекта по строительству в Октябрьском районе мясохладобойни мощностью 4,5 млн. голов в год по убою и переработке свиней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или свыше 400 тыс. тонн готовой продукции</w:t>
      </w:r>
      <w:r w:rsidRPr="00E2342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Первую очередь – глубокую переработку мяса планируется ввести в эксплуатацию в 2020 </w:t>
      </w:r>
      <w:r w:rsidRPr="00E23428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году, а в 2021 году запустить комплекс по убою и обвалке свиней;</w:t>
      </w:r>
    </w:p>
    <w:p w:rsidR="005D0898" w:rsidRPr="00E23428" w:rsidRDefault="005D0898" w:rsidP="005D0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2342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проекта по строительству предприятия по последующей (промышленной) переработке сельскохозяйственных животных мощностью 32,8 тыс. тонн в год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Пристенском районе</w:t>
      </w:r>
      <w:r w:rsidRPr="00E2342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Ввод в эксплуатацию объекта запланирован на 2019 год.</w:t>
      </w:r>
    </w:p>
    <w:p w:rsidR="005D0898" w:rsidRPr="002E78E5" w:rsidRDefault="005D0898" w:rsidP="005D0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78E5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2E78E5">
        <w:rPr>
          <w:rFonts w:ascii="Times New Roman" w:hAnsi="Times New Roman" w:cs="Times New Roman"/>
          <w:color w:val="auto"/>
          <w:sz w:val="28"/>
          <w:szCs w:val="28"/>
        </w:rPr>
        <w:t>Агропромкомплекация-Курск</w:t>
      </w:r>
      <w:proofErr w:type="spellEnd"/>
      <w:r w:rsidRPr="002E78E5">
        <w:rPr>
          <w:rFonts w:ascii="Times New Roman" w:hAnsi="Times New Roman" w:cs="Times New Roman"/>
          <w:color w:val="auto"/>
          <w:sz w:val="28"/>
          <w:szCs w:val="28"/>
        </w:rPr>
        <w:t xml:space="preserve">» продолжает строительство свиноводческих комплексов в Дмитриевском и </w:t>
      </w:r>
      <w:proofErr w:type="spellStart"/>
      <w:r w:rsidRPr="002E78E5">
        <w:rPr>
          <w:rFonts w:ascii="Times New Roman" w:hAnsi="Times New Roman" w:cs="Times New Roman"/>
          <w:color w:val="auto"/>
          <w:sz w:val="28"/>
          <w:szCs w:val="28"/>
        </w:rPr>
        <w:t>Конышевском</w:t>
      </w:r>
      <w:proofErr w:type="spellEnd"/>
      <w:r w:rsidRPr="002E78E5">
        <w:rPr>
          <w:rFonts w:ascii="Times New Roman" w:hAnsi="Times New Roman" w:cs="Times New Roman"/>
          <w:color w:val="auto"/>
          <w:sz w:val="28"/>
          <w:szCs w:val="28"/>
        </w:rPr>
        <w:t xml:space="preserve"> районах; животноводческого комплекса молочного направления на 6000 голов крупного рогатого скота с пунктом по приемке, первичной переработке молока в Железногорском районе с вводом в эксплуатацию в 2019 году.</w:t>
      </w:r>
    </w:p>
    <w:p w:rsidR="005D0898" w:rsidRPr="00C6746C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6C">
        <w:rPr>
          <w:rFonts w:ascii="Times New Roman" w:hAnsi="Times New Roman" w:cs="Times New Roman"/>
          <w:sz w:val="28"/>
          <w:szCs w:val="28"/>
        </w:rPr>
        <w:t>Прогнозируемое развитие положительных тенденций в агропромышленном комплексе области на 2019-2030 годы предусматривается за счет продолжения работы по:</w:t>
      </w:r>
    </w:p>
    <w:p w:rsidR="005D0898" w:rsidRPr="00C6746C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6C">
        <w:rPr>
          <w:rFonts w:ascii="Times New Roman" w:hAnsi="Times New Roman" w:cs="Times New Roman"/>
          <w:sz w:val="28"/>
          <w:szCs w:val="28"/>
        </w:rPr>
        <w:t xml:space="preserve">внедрению и применению в растениеводстве передовых, ресурсосберегающих </w:t>
      </w:r>
      <w:proofErr w:type="spellStart"/>
      <w:r w:rsidRPr="00C6746C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C6746C">
        <w:rPr>
          <w:rFonts w:ascii="Times New Roman" w:hAnsi="Times New Roman" w:cs="Times New Roman"/>
          <w:sz w:val="28"/>
          <w:szCs w:val="28"/>
        </w:rPr>
        <w:t xml:space="preserve"> в комплексе с обновлением машинно-тракторного парка АПК;</w:t>
      </w:r>
    </w:p>
    <w:p w:rsidR="005D0898" w:rsidRPr="00C6746C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6C">
        <w:rPr>
          <w:rFonts w:ascii="Times New Roman" w:hAnsi="Times New Roman" w:cs="Times New Roman"/>
          <w:sz w:val="28"/>
          <w:szCs w:val="28"/>
        </w:rPr>
        <w:t>реорганизации растениеводства с ориентиром на передовые методы работы с землей, техникой, сортами, средствами химизации и защиты растений;</w:t>
      </w:r>
    </w:p>
    <w:p w:rsidR="005D0898" w:rsidRPr="00C6746C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6C">
        <w:rPr>
          <w:rFonts w:ascii="Times New Roman" w:hAnsi="Times New Roman" w:cs="Times New Roman"/>
          <w:sz w:val="28"/>
          <w:szCs w:val="28"/>
        </w:rPr>
        <w:t>увеличению поголовья сельскохозяйственных животных, росту продуктивности и улучшению их породных и племенных качеств;</w:t>
      </w:r>
    </w:p>
    <w:p w:rsidR="005D0898" w:rsidRPr="00C6746C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6C">
        <w:rPr>
          <w:rFonts w:ascii="Times New Roman" w:hAnsi="Times New Roman" w:cs="Times New Roman"/>
          <w:sz w:val="28"/>
          <w:szCs w:val="28"/>
        </w:rPr>
        <w:t>развитию индустриальных направлений в животноводстве путем строительства и ввода в эксплуатацию комплексов.</w:t>
      </w:r>
    </w:p>
    <w:p w:rsidR="005D0898" w:rsidRPr="00C6746C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6C">
        <w:rPr>
          <w:rFonts w:ascii="Times New Roman" w:hAnsi="Times New Roman" w:cs="Times New Roman"/>
          <w:sz w:val="28"/>
          <w:szCs w:val="28"/>
        </w:rPr>
        <w:t>Продолжится работа по участию в мероприятиях федеральных целевых программ; расширению и оптимизации дополнительных мер поддержки, стимулирующих развитие аграрного производства.</w:t>
      </w:r>
    </w:p>
    <w:p w:rsidR="005D0898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48">
        <w:rPr>
          <w:rFonts w:ascii="Times New Roman" w:hAnsi="Times New Roman" w:cs="Times New Roman"/>
          <w:sz w:val="28"/>
          <w:szCs w:val="28"/>
        </w:rPr>
        <w:t xml:space="preserve">В 2019-2030 годах по базовому </w:t>
      </w:r>
      <w:r>
        <w:rPr>
          <w:rFonts w:ascii="Times New Roman" w:hAnsi="Times New Roman" w:cs="Times New Roman"/>
          <w:sz w:val="28"/>
          <w:szCs w:val="28"/>
        </w:rPr>
        <w:t>и целевому вариантам</w:t>
      </w:r>
      <w:r w:rsidRPr="007B1F48">
        <w:rPr>
          <w:rFonts w:ascii="Times New Roman" w:hAnsi="Times New Roman" w:cs="Times New Roman"/>
          <w:sz w:val="28"/>
          <w:szCs w:val="28"/>
        </w:rPr>
        <w:t xml:space="preserve"> прогнозируется рост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продукции сельского хозяйства в хозяйствах всех категорий (в сопоставимых ценах) </w:t>
      </w:r>
      <w:r w:rsidRPr="007B1F48">
        <w:rPr>
          <w:rFonts w:ascii="Times New Roman" w:hAnsi="Times New Roman" w:cs="Times New Roman"/>
          <w:sz w:val="28"/>
          <w:szCs w:val="28"/>
        </w:rPr>
        <w:t>на 15,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1F48">
        <w:rPr>
          <w:rFonts w:ascii="Times New Roman" w:hAnsi="Times New Roman" w:cs="Times New Roman"/>
          <w:sz w:val="28"/>
          <w:szCs w:val="28"/>
        </w:rPr>
        <w:t xml:space="preserve"> % к уровню 2018 года, по  </w:t>
      </w:r>
      <w:r>
        <w:rPr>
          <w:rFonts w:ascii="Times New Roman" w:hAnsi="Times New Roman" w:cs="Times New Roman"/>
          <w:sz w:val="28"/>
          <w:szCs w:val="28"/>
        </w:rPr>
        <w:t>консервативному варианту рост не предусматривается</w:t>
      </w:r>
      <w:r w:rsidRPr="007B1F48">
        <w:rPr>
          <w:rFonts w:ascii="Times New Roman" w:hAnsi="Times New Roman" w:cs="Times New Roman"/>
          <w:sz w:val="28"/>
          <w:szCs w:val="28"/>
        </w:rPr>
        <w:t>.</w:t>
      </w:r>
    </w:p>
    <w:p w:rsidR="008C44C3" w:rsidRDefault="008C44C3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4C3">
        <w:rPr>
          <w:rFonts w:ascii="Times New Roman" w:hAnsi="Times New Roman" w:cs="Times New Roman"/>
          <w:b/>
          <w:sz w:val="28"/>
          <w:szCs w:val="28"/>
        </w:rPr>
        <w:t xml:space="preserve">Инвестиции 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притока инвестиций в регионе в долгосрочной перспективе продолжится работа по совершенствованию законодательной основы инвестиционной деятельности.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Также одним из основных направлений работы по улучшению условий для ведения бизнеса является создание площадок с подготовленными объектами энергетической и транспортной инфраструктуры.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lastRenderedPageBreak/>
        <w:t>Осуществляется работа по развитию муниципального индустриального (промышленного) парка в г. Щигры и индустриального (промышленного) парка «Юбилейный», расположенного на территории Щетинского сельсовета Курского района. Особое внимание уделяется пустующим производственным площадкам бывших советских гигантов (создаются индустриальные парки на площадках АПЗ-20 и завода «</w:t>
      </w:r>
      <w:proofErr w:type="spellStart"/>
      <w:r w:rsidRPr="008C44C3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Pr="008C44C3">
        <w:rPr>
          <w:rFonts w:ascii="Times New Roman" w:hAnsi="Times New Roman" w:cs="Times New Roman"/>
          <w:sz w:val="28"/>
          <w:szCs w:val="28"/>
        </w:rPr>
        <w:t>»).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 xml:space="preserve">В перспективе продолжится осуществление государственной поддержки инвесторов: предоставление субсидий из областного бюджета на возмещение части затрат на уплату процентов по кредитам, привлекаемым на реализацию инвестиционных проектов, </w:t>
      </w:r>
      <w:proofErr w:type="spellStart"/>
      <w:r w:rsidRPr="008C44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C44C3">
        <w:rPr>
          <w:rFonts w:ascii="Times New Roman" w:hAnsi="Times New Roman" w:cs="Times New Roman"/>
          <w:sz w:val="28"/>
          <w:szCs w:val="28"/>
        </w:rPr>
        <w:t xml:space="preserve"> инвестиционных проектов за счет средств Инвестиционного фонда Курской области, предоставление режима наибольшего благоприятствования в связи с реализацией инвестиционных проектов, право на применение льготы по налогу на имущество организаций в части имущества, созданного в ходе реализации инвестиционных проектов, и пониженной ставки по налогу на прибыль организаций.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Продолжится реализация значимых для региона проектов.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Благодаря реализации крупных инвестиционных проектов на территории региона, в том числе ряда социальных проектов в сферах образования, здравоохранения, физкультуры и спорта, в прогнозном периоде в базовом и целевом вариантах сохранится положительная динамика привлечения инвестиций в основной капитал.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Прогнозируется ежегодное постепенное увеличение объема инвестиций в основной капитал, который к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44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65EB">
        <w:rPr>
          <w:rFonts w:ascii="Times New Roman" w:hAnsi="Times New Roman" w:cs="Times New Roman"/>
          <w:sz w:val="28"/>
          <w:szCs w:val="28"/>
        </w:rPr>
        <w:t xml:space="preserve">по базовому варианту </w:t>
      </w:r>
      <w:r w:rsidRPr="008C44C3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227,3</w:t>
      </w:r>
      <w:r w:rsidRPr="008C44C3">
        <w:rPr>
          <w:rFonts w:ascii="Times New Roman" w:hAnsi="Times New Roman" w:cs="Times New Roman"/>
          <w:sz w:val="28"/>
          <w:szCs w:val="28"/>
        </w:rPr>
        <w:t xml:space="preserve"> млрд. рублей с ростом в 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44C3">
        <w:rPr>
          <w:rFonts w:ascii="Times New Roman" w:hAnsi="Times New Roman" w:cs="Times New Roman"/>
          <w:sz w:val="28"/>
          <w:szCs w:val="28"/>
        </w:rPr>
        <w:t xml:space="preserve"> раза (в сопоставимых ценах) к 2018 году.  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Наибольший объем инвестиций прогнозируется в таких секторах экономики как обеспечение электрической энергией, газом и паром,  обрабатывающие производства, сельское хозяйство.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Вложение инвестиций в основной капитал  в прогнозируемом периоде будет осуществляться за счет собственных средств и привлеченных источников. Привлеченные источники включают кредиты банков, заемные средства других организаций, средства вышестоящих организаций, средства населения, привлекаемые на строительство жилья, и прочие.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 xml:space="preserve">Основными мотивами инвестиционной деятельности предприятий являются интенсификация и модернизация производства, выпуск новой продукции, поддержание производственных мощностей, расширение существующего производства и другие. </w:t>
      </w:r>
    </w:p>
    <w:p w:rsid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C3" w:rsidRPr="00E265EB" w:rsidRDefault="008C44C3" w:rsidP="008C44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E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 xml:space="preserve">Выполнение объемов работ по виду деятельности «Строительство» планируется за счет строительства объектов Курской АЭС-2, реализации </w:t>
      </w:r>
      <w:r w:rsidRPr="008C44C3">
        <w:rPr>
          <w:rFonts w:ascii="Times New Roman" w:hAnsi="Times New Roman" w:cs="Times New Roman"/>
          <w:sz w:val="28"/>
          <w:szCs w:val="28"/>
        </w:rPr>
        <w:lastRenderedPageBreak/>
        <w:t>крупных инвестиционных проектов в промышленности, в сфере агропромышленного комплекса, а также строительства объектов социальной сферы.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Объем строительных работ в 2019 году прогнозируется  на уровне 53,9 млрд. рублей (индекс физического объема – 100,0 %), в 203</w:t>
      </w:r>
      <w:r w:rsidR="00E265EB">
        <w:rPr>
          <w:rFonts w:ascii="Times New Roman" w:hAnsi="Times New Roman" w:cs="Times New Roman"/>
          <w:sz w:val="28"/>
          <w:szCs w:val="28"/>
        </w:rPr>
        <w:t>0</w:t>
      </w:r>
      <w:r w:rsidRPr="008C44C3">
        <w:rPr>
          <w:rFonts w:ascii="Times New Roman" w:hAnsi="Times New Roman" w:cs="Times New Roman"/>
          <w:sz w:val="28"/>
          <w:szCs w:val="28"/>
        </w:rPr>
        <w:t xml:space="preserve"> году – на уровне </w:t>
      </w:r>
      <w:r w:rsidR="00E265EB">
        <w:rPr>
          <w:rFonts w:ascii="Times New Roman" w:hAnsi="Times New Roman" w:cs="Times New Roman"/>
          <w:sz w:val="28"/>
          <w:szCs w:val="28"/>
        </w:rPr>
        <w:t>91,9</w:t>
      </w:r>
      <w:r w:rsidRPr="008C44C3">
        <w:rPr>
          <w:rFonts w:ascii="Times New Roman" w:hAnsi="Times New Roman" w:cs="Times New Roman"/>
          <w:sz w:val="28"/>
          <w:szCs w:val="28"/>
        </w:rPr>
        <w:t xml:space="preserve"> млрд. рублей (индекс физического объема – 100 %).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Значительное влияние на прогнозируемые объемы строительных работ будет оказывать формирование рынка доступного жилья.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 xml:space="preserve"> В   соответствии  с   Указом  Президента  Российской  Федерации  от  7 мая 2018 года № 204 «О национальных целях и стратегических задачах развития Российской Федерации», а также Основными направлениями деятельности Правительства Российской Федерации на период до 2024 года  в рамках национального проекта в сфере жилья и городской среды поставлены задачи по ежегодному увеличению объемов жилищного строительства. 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В прогнозируемом периоде предполагается ежегодное увеличение темпов ввода жилья в объеме более 600 тыс. кв. метров ежегодно.</w:t>
      </w:r>
    </w:p>
    <w:p w:rsidR="008C44C3" w:rsidRPr="008C44C3" w:rsidRDefault="008C44C3" w:rsidP="00E26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 xml:space="preserve">На территории Курского района продолжается строительство жилого поселка «Северный». На территории </w:t>
      </w:r>
      <w:proofErr w:type="spellStart"/>
      <w:r w:rsidRPr="008C44C3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8C44C3">
        <w:rPr>
          <w:rFonts w:ascii="Times New Roman" w:hAnsi="Times New Roman" w:cs="Times New Roman"/>
          <w:sz w:val="28"/>
          <w:szCs w:val="28"/>
        </w:rPr>
        <w:t xml:space="preserve"> района ведется строительство арендного жилья.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Увеличение объемов жилищного строительства, улучшение его качества, реализация мер государственной поддержки позволят обеспечить комфортную среду проживания и жизнедеятельности населения Курской области.</w:t>
      </w:r>
    </w:p>
    <w:p w:rsidR="008C44C3" w:rsidRPr="008C44C3" w:rsidRDefault="008C44C3" w:rsidP="008C4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C3">
        <w:rPr>
          <w:rFonts w:ascii="Times New Roman" w:hAnsi="Times New Roman" w:cs="Times New Roman"/>
          <w:sz w:val="28"/>
          <w:szCs w:val="28"/>
        </w:rPr>
        <w:t>Продолжится строительство социально значимых объектов: общеобразовательных школ, детских дошкольных учреждений, поликлинических учреждений и фельдшерско-акушерских пунктов, объектов культуры и спорта.</w:t>
      </w:r>
    </w:p>
    <w:p w:rsidR="005D0898" w:rsidRPr="002760E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BE6">
        <w:rPr>
          <w:rFonts w:ascii="Times New Roman" w:hAnsi="Times New Roman" w:cs="Times New Roman"/>
          <w:b/>
          <w:i/>
          <w:sz w:val="28"/>
          <w:szCs w:val="28"/>
        </w:rPr>
        <w:t>Потребительский рынок товаров и услуг</w:t>
      </w:r>
    </w:p>
    <w:p w:rsidR="005D0898" w:rsidRPr="00150ECF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>Дальнейшее развитие на потребительском рынке товаров и услуг области в 2019-2030 годах предусматривается за счет:</w:t>
      </w:r>
    </w:p>
    <w:p w:rsidR="005D0898" w:rsidRPr="00150ECF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>создания условий для развития конкуренции в отрасли через формирование института саморегулирования в сфере торговли;</w:t>
      </w:r>
    </w:p>
    <w:p w:rsidR="005D0898" w:rsidRPr="00150ECF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150ECF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150ECF">
        <w:rPr>
          <w:rFonts w:ascii="Times New Roman" w:hAnsi="Times New Roman" w:cs="Times New Roman"/>
          <w:sz w:val="28"/>
          <w:szCs w:val="28"/>
        </w:rPr>
        <w:t xml:space="preserve"> торговли: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ECF">
        <w:rPr>
          <w:rFonts w:ascii="Times New Roman" w:hAnsi="Times New Roman" w:cs="Times New Roman"/>
          <w:sz w:val="28"/>
          <w:szCs w:val="28"/>
        </w:rPr>
        <w:t>сетевой, мобильной,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ECF">
        <w:rPr>
          <w:rFonts w:ascii="Times New Roman" w:hAnsi="Times New Roman" w:cs="Times New Roman"/>
          <w:sz w:val="28"/>
          <w:szCs w:val="28"/>
        </w:rPr>
        <w:t>нестационарной, ярмарочной, рыночной торговли, крупных современных торговых комплексов и магазинов «шаговой доступности»;</w:t>
      </w:r>
    </w:p>
    <w:p w:rsidR="005D0898" w:rsidRPr="00150ECF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>развития бытовых социально-значимых услуг, организации выездного обслуживания населения сельской местности;</w:t>
      </w:r>
    </w:p>
    <w:p w:rsidR="005D0898" w:rsidRPr="00150ECF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>увеличения доли новых и модернизации действующих предприятий торговли, общественного питания и бытового обслуживания;</w:t>
      </w:r>
    </w:p>
    <w:p w:rsidR="005D0898" w:rsidRPr="00150ECF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>равномерного размещения предприятий торговли на территории муниципальных образований области для приближения их к потребителю и обеспечения комфортности покупок и предоставления услуг;</w:t>
      </w:r>
    </w:p>
    <w:p w:rsidR="005D0898" w:rsidRPr="003D2940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F">
        <w:rPr>
          <w:rFonts w:ascii="Times New Roman" w:hAnsi="Times New Roman" w:cs="Times New Roman"/>
          <w:sz w:val="28"/>
          <w:szCs w:val="28"/>
        </w:rPr>
        <w:t xml:space="preserve">повышения результативности при взаимодействии с </w:t>
      </w:r>
      <w:r w:rsidRPr="00150EC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органами федеральных органов исполнительной власти и органами местного самоуправления по вопросам реализации </w:t>
      </w:r>
      <w:r w:rsidRPr="003D2940">
        <w:rPr>
          <w:rFonts w:ascii="Times New Roman" w:hAnsi="Times New Roman" w:cs="Times New Roman"/>
          <w:sz w:val="28"/>
          <w:szCs w:val="28"/>
        </w:rPr>
        <w:t>государственной политики в сфере потребительского рынка.</w:t>
      </w:r>
    </w:p>
    <w:p w:rsidR="005D0898" w:rsidRPr="003D2940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40">
        <w:rPr>
          <w:rFonts w:ascii="Times New Roman" w:hAnsi="Times New Roman" w:cs="Times New Roman"/>
          <w:sz w:val="28"/>
          <w:szCs w:val="28"/>
        </w:rPr>
        <w:t xml:space="preserve">В 2019-2030 годах по базовому варианту 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(в сопоставимых ценах) </w:t>
      </w:r>
      <w:r w:rsidRPr="003D2940">
        <w:rPr>
          <w:rFonts w:ascii="Times New Roman" w:hAnsi="Times New Roman" w:cs="Times New Roman"/>
          <w:sz w:val="28"/>
          <w:szCs w:val="28"/>
        </w:rPr>
        <w:t>прогнозируется с ростом в 1,3 раза; оборот общественного питания - в 1,68 раза; объем платных услуг, оказываемых населению области - в 1,46 раза.</w:t>
      </w:r>
    </w:p>
    <w:p w:rsidR="005D0898" w:rsidRPr="003D2940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40">
        <w:rPr>
          <w:rFonts w:ascii="Times New Roman" w:hAnsi="Times New Roman" w:cs="Times New Roman"/>
          <w:sz w:val="28"/>
          <w:szCs w:val="28"/>
        </w:rPr>
        <w:t xml:space="preserve">По целевому варианту 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(в сопоставимых ценах) </w:t>
      </w:r>
      <w:r w:rsidRPr="003D2940">
        <w:rPr>
          <w:rFonts w:ascii="Times New Roman" w:hAnsi="Times New Roman" w:cs="Times New Roman"/>
          <w:sz w:val="28"/>
          <w:szCs w:val="28"/>
        </w:rPr>
        <w:t>прогнозируется с ростом в 1,4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2940">
        <w:rPr>
          <w:rFonts w:ascii="Times New Roman" w:hAnsi="Times New Roman" w:cs="Times New Roman"/>
          <w:sz w:val="28"/>
          <w:szCs w:val="28"/>
        </w:rPr>
        <w:t xml:space="preserve"> раза; оборот общественного питания - 1,73 раза; объем платных услуг - в 1,53 раза.</w:t>
      </w:r>
    </w:p>
    <w:p w:rsidR="005D0898" w:rsidRPr="003D2940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40">
        <w:rPr>
          <w:rFonts w:ascii="Times New Roman" w:hAnsi="Times New Roman" w:cs="Times New Roman"/>
          <w:sz w:val="28"/>
          <w:szCs w:val="28"/>
        </w:rPr>
        <w:t xml:space="preserve">По консервативному варианту 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(в сопоставимых ценах) </w:t>
      </w:r>
      <w:r w:rsidRPr="003D2940">
        <w:rPr>
          <w:rFonts w:ascii="Times New Roman" w:hAnsi="Times New Roman" w:cs="Times New Roman"/>
          <w:sz w:val="28"/>
          <w:szCs w:val="28"/>
        </w:rPr>
        <w:t>прогнозируется с ростом в 1,26 раза; оборот общественного питания - в 1,53 раза; объем платных услуг - в 1,38 раза.</w:t>
      </w:r>
    </w:p>
    <w:p w:rsidR="005D0898" w:rsidRDefault="005D0898" w:rsidP="005D08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BE6">
        <w:rPr>
          <w:rFonts w:ascii="Times New Roman" w:hAnsi="Times New Roman" w:cs="Times New Roman"/>
          <w:b/>
          <w:i/>
          <w:sz w:val="28"/>
          <w:szCs w:val="28"/>
        </w:rPr>
        <w:t>Финансовые результаты</w:t>
      </w:r>
    </w:p>
    <w:p w:rsidR="005D0898" w:rsidRPr="00080A8A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8A">
        <w:rPr>
          <w:rFonts w:ascii="Times New Roman" w:hAnsi="Times New Roman" w:cs="Times New Roman"/>
          <w:sz w:val="28"/>
          <w:szCs w:val="28"/>
        </w:rPr>
        <w:t xml:space="preserve">Прибыль прибыльных организаций в целом по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A8A">
        <w:rPr>
          <w:rFonts w:ascii="Times New Roman" w:hAnsi="Times New Roman" w:cs="Times New Roman"/>
          <w:sz w:val="28"/>
          <w:szCs w:val="28"/>
        </w:rPr>
        <w:t>прибыль) в 2018 году оценивается в сумме 82,56 млрд. рублей с ростом на 6,8 % к уровню 2017 года.</w:t>
      </w:r>
    </w:p>
    <w:p w:rsidR="005D0898" w:rsidRDefault="005D0898" w:rsidP="005D089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F42">
        <w:rPr>
          <w:rFonts w:ascii="Times New Roman" w:hAnsi="Times New Roman" w:cs="Times New Roman"/>
          <w:color w:val="auto"/>
          <w:sz w:val="28"/>
          <w:szCs w:val="28"/>
        </w:rPr>
        <w:t>Одной из основных задач на прогнозируемый период остается увеличение общей массы прибыли, являющейся одним из основных источников увеличения налогооблагаемой базы.</w:t>
      </w:r>
    </w:p>
    <w:p w:rsidR="005D0898" w:rsidRPr="00792BC1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0A8A">
        <w:rPr>
          <w:rFonts w:ascii="Times New Roman" w:hAnsi="Times New Roman" w:cs="Times New Roman"/>
          <w:sz w:val="28"/>
          <w:szCs w:val="28"/>
        </w:rPr>
        <w:t xml:space="preserve"> 2030 году </w:t>
      </w:r>
      <w:r>
        <w:rPr>
          <w:rFonts w:ascii="Times New Roman" w:hAnsi="Times New Roman" w:cs="Times New Roman"/>
          <w:sz w:val="28"/>
          <w:szCs w:val="28"/>
        </w:rPr>
        <w:t>прибыль</w:t>
      </w:r>
      <w:r w:rsidRPr="00080A8A">
        <w:rPr>
          <w:rFonts w:ascii="Times New Roman" w:hAnsi="Times New Roman" w:cs="Times New Roman"/>
          <w:sz w:val="28"/>
          <w:szCs w:val="28"/>
        </w:rPr>
        <w:t xml:space="preserve"> </w:t>
      </w:r>
      <w:r w:rsidRPr="00AC0E0A">
        <w:rPr>
          <w:rFonts w:ascii="Times New Roman" w:hAnsi="Times New Roman" w:cs="Times New Roman"/>
          <w:sz w:val="28"/>
          <w:szCs w:val="28"/>
        </w:rPr>
        <w:t>по базовому варианту</w:t>
      </w:r>
      <w:r w:rsidRPr="00080A8A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Pr="00A72220">
        <w:rPr>
          <w:rFonts w:ascii="Times New Roman" w:hAnsi="Times New Roman" w:cs="Times New Roman"/>
          <w:sz w:val="28"/>
          <w:szCs w:val="28"/>
        </w:rPr>
        <w:t>102,55млрд. рублей (132,6 % к 2017 году), по целевому варианту - в сумме</w:t>
      </w:r>
      <w:r w:rsidRPr="00080A8A">
        <w:rPr>
          <w:rFonts w:ascii="Times New Roman" w:hAnsi="Times New Roman" w:cs="Times New Roman"/>
          <w:sz w:val="28"/>
          <w:szCs w:val="28"/>
        </w:rPr>
        <w:t xml:space="preserve"> 106,5 млрд. рублей (137,7 % к 2017 году)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E0A">
        <w:rPr>
          <w:rFonts w:ascii="Times New Roman" w:hAnsi="Times New Roman" w:cs="Times New Roman"/>
          <w:sz w:val="28"/>
          <w:szCs w:val="28"/>
        </w:rPr>
        <w:t>по консервативному варианту</w:t>
      </w:r>
      <w:r w:rsidRPr="00792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2BC1">
        <w:rPr>
          <w:rFonts w:ascii="Times New Roman" w:hAnsi="Times New Roman" w:cs="Times New Roman"/>
          <w:sz w:val="28"/>
          <w:szCs w:val="28"/>
        </w:rPr>
        <w:t xml:space="preserve"> в сумме 93,95 млрд. рублей (121,5 % к 2017 году).</w:t>
      </w:r>
    </w:p>
    <w:p w:rsidR="005D0898" w:rsidRPr="002760E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0898" w:rsidRPr="005F4BE6" w:rsidRDefault="005D0898" w:rsidP="005D08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BE6">
        <w:rPr>
          <w:rFonts w:ascii="Times New Roman" w:hAnsi="Times New Roman" w:cs="Times New Roman"/>
          <w:b/>
          <w:i/>
          <w:sz w:val="28"/>
          <w:szCs w:val="28"/>
        </w:rPr>
        <w:t>Уровень жизни</w:t>
      </w:r>
    </w:p>
    <w:p w:rsidR="0075174A" w:rsidRDefault="0075174A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ключевых показателей уровня жизни населения является уровень заработной платы. </w:t>
      </w:r>
    </w:p>
    <w:p w:rsidR="005D0898" w:rsidRPr="007235A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AD">
        <w:rPr>
          <w:rFonts w:ascii="Times New Roman" w:hAnsi="Times New Roman" w:cs="Times New Roman"/>
          <w:sz w:val="28"/>
          <w:szCs w:val="28"/>
        </w:rPr>
        <w:t>В 2019-2030 годах по базовому варианту прогнозируется рост фонда начисленной заработной платы в 2,1 раза, по целевому варианту - в 2,15 раза, по консервативному варианту - в 1,9 раза.</w:t>
      </w:r>
    </w:p>
    <w:p w:rsidR="005D0898" w:rsidRPr="007235A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AD">
        <w:rPr>
          <w:rFonts w:ascii="Times New Roman" w:hAnsi="Times New Roman" w:cs="Times New Roman"/>
          <w:sz w:val="28"/>
          <w:szCs w:val="28"/>
        </w:rPr>
        <w:t xml:space="preserve">Положительной динамике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235AD">
        <w:rPr>
          <w:rFonts w:ascii="Times New Roman" w:hAnsi="Times New Roman" w:cs="Times New Roman"/>
          <w:sz w:val="28"/>
          <w:szCs w:val="28"/>
        </w:rPr>
        <w:t>оплаты труда будут способствовать</w:t>
      </w:r>
      <w:r w:rsidRPr="007235AD">
        <w:rPr>
          <w:rFonts w:ascii="Times New Roman" w:hAnsi="Times New Roman" w:cs="Times New Roman"/>
          <w:sz w:val="28"/>
          <w:szCs w:val="28"/>
        </w:rPr>
        <w:tab/>
        <w:t>увеличение средней заработной пла</w:t>
      </w:r>
      <w:r w:rsidR="0075174A">
        <w:rPr>
          <w:rFonts w:ascii="Times New Roman" w:hAnsi="Times New Roman" w:cs="Times New Roman"/>
          <w:sz w:val="28"/>
          <w:szCs w:val="28"/>
        </w:rPr>
        <w:t xml:space="preserve">ты в реальном секторе экономики, </w:t>
      </w:r>
      <w:r w:rsidRPr="007235AD">
        <w:rPr>
          <w:rFonts w:ascii="Times New Roman" w:hAnsi="Times New Roman" w:cs="Times New Roman"/>
          <w:sz w:val="28"/>
          <w:szCs w:val="28"/>
        </w:rPr>
        <w:t>рост производительности труда</w:t>
      </w:r>
      <w:r w:rsidR="0075174A">
        <w:rPr>
          <w:rFonts w:ascii="Times New Roman" w:hAnsi="Times New Roman" w:cs="Times New Roman"/>
          <w:sz w:val="28"/>
          <w:szCs w:val="28"/>
        </w:rPr>
        <w:t xml:space="preserve">,  </w:t>
      </w:r>
      <w:r w:rsidRPr="007235AD">
        <w:rPr>
          <w:rFonts w:ascii="Times New Roman" w:hAnsi="Times New Roman" w:cs="Times New Roman"/>
          <w:sz w:val="28"/>
          <w:szCs w:val="28"/>
        </w:rPr>
        <w:t>создание новых рабочих мест.</w:t>
      </w:r>
    </w:p>
    <w:p w:rsidR="005D0898" w:rsidRPr="007235AD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AD">
        <w:rPr>
          <w:rFonts w:ascii="Times New Roman" w:hAnsi="Times New Roman" w:cs="Times New Roman"/>
          <w:sz w:val="28"/>
          <w:szCs w:val="28"/>
        </w:rPr>
        <w:t>До 2030 года динамика среднесписочной численности работников организаций имеет тенденцию к незначительному росту по всем вариантам.</w:t>
      </w:r>
    </w:p>
    <w:p w:rsidR="005D0898" w:rsidRDefault="005D0898" w:rsidP="005D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AD">
        <w:rPr>
          <w:rFonts w:ascii="Times New Roman" w:hAnsi="Times New Roman" w:cs="Times New Roman"/>
          <w:sz w:val="28"/>
          <w:szCs w:val="28"/>
        </w:rPr>
        <w:t xml:space="preserve">К 2030 году по консервативному варианту среднемесячная начисленная заработная плата работников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Pr="007235AD">
        <w:rPr>
          <w:rFonts w:ascii="Times New Roman" w:hAnsi="Times New Roman" w:cs="Times New Roman"/>
          <w:sz w:val="28"/>
          <w:szCs w:val="28"/>
        </w:rPr>
        <w:t>в 1,9 раза; по базовому</w:t>
      </w:r>
      <w:r>
        <w:rPr>
          <w:rFonts w:ascii="Times New Roman" w:hAnsi="Times New Roman" w:cs="Times New Roman"/>
          <w:sz w:val="28"/>
          <w:szCs w:val="28"/>
        </w:rPr>
        <w:t xml:space="preserve"> варианту</w:t>
      </w:r>
      <w:r w:rsidRPr="007235AD">
        <w:rPr>
          <w:rFonts w:ascii="Times New Roman" w:hAnsi="Times New Roman" w:cs="Times New Roman"/>
          <w:sz w:val="28"/>
          <w:szCs w:val="28"/>
        </w:rPr>
        <w:t xml:space="preserve"> - в 2 раза и по целевому</w:t>
      </w:r>
      <w:r>
        <w:rPr>
          <w:rFonts w:ascii="Times New Roman" w:hAnsi="Times New Roman" w:cs="Times New Roman"/>
          <w:sz w:val="28"/>
          <w:szCs w:val="28"/>
        </w:rPr>
        <w:t xml:space="preserve"> варианту</w:t>
      </w:r>
      <w:r w:rsidRPr="007235AD">
        <w:rPr>
          <w:rFonts w:ascii="Times New Roman" w:hAnsi="Times New Roman" w:cs="Times New Roman"/>
          <w:sz w:val="28"/>
          <w:szCs w:val="28"/>
        </w:rPr>
        <w:t xml:space="preserve"> - в 2,1 раза.</w:t>
      </w:r>
    </w:p>
    <w:p w:rsidR="00BC1528" w:rsidRPr="007235AD" w:rsidRDefault="00BC1528" w:rsidP="00B65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528" w:rsidRPr="007235AD" w:rsidSect="005D0898">
      <w:pgSz w:w="11900" w:h="16840"/>
      <w:pgMar w:top="1134" w:right="1418" w:bottom="1134" w:left="1559" w:header="17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C3" w:rsidRDefault="008C44C3" w:rsidP="00A652B8">
      <w:r>
        <w:separator/>
      </w:r>
    </w:p>
  </w:endnote>
  <w:endnote w:type="continuationSeparator" w:id="0">
    <w:p w:rsidR="008C44C3" w:rsidRDefault="008C44C3" w:rsidP="00A6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C3" w:rsidRDefault="008C44C3"/>
  </w:footnote>
  <w:footnote w:type="continuationSeparator" w:id="0">
    <w:p w:rsidR="008C44C3" w:rsidRDefault="008C44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6735"/>
      <w:docPartObj>
        <w:docPartGallery w:val="Page Numbers (Top of Page)"/>
        <w:docPartUnique/>
      </w:docPartObj>
    </w:sdtPr>
    <w:sdtContent>
      <w:p w:rsidR="008C44C3" w:rsidRDefault="008C44C3">
        <w:pPr>
          <w:pStyle w:val="a6"/>
          <w:jc w:val="center"/>
        </w:pPr>
      </w:p>
      <w:p w:rsidR="008C44C3" w:rsidRDefault="00617D83">
        <w:pPr>
          <w:pStyle w:val="a6"/>
          <w:jc w:val="center"/>
        </w:pPr>
      </w:p>
    </w:sdtContent>
  </w:sdt>
  <w:p w:rsidR="008C44C3" w:rsidRDefault="008C44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6741"/>
      <w:docPartObj>
        <w:docPartGallery w:val="Page Numbers (Top of Page)"/>
        <w:docPartUnique/>
      </w:docPartObj>
    </w:sdtPr>
    <w:sdtContent>
      <w:p w:rsidR="00A72220" w:rsidRDefault="00A72220">
        <w:pPr>
          <w:pStyle w:val="a6"/>
          <w:jc w:val="center"/>
        </w:pPr>
      </w:p>
      <w:p w:rsidR="008C44C3" w:rsidRDefault="00617D83">
        <w:pPr>
          <w:pStyle w:val="a6"/>
          <w:jc w:val="center"/>
        </w:pPr>
        <w:r>
          <w:rPr>
            <w:noProof/>
          </w:rPr>
          <w:fldChar w:fldCharType="begin"/>
        </w:r>
        <w:r w:rsidR="008C44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2E6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C3" w:rsidRDefault="008C44C3">
    <w:pPr>
      <w:pStyle w:val="a6"/>
      <w:jc w:val="center"/>
    </w:pPr>
  </w:p>
  <w:p w:rsidR="008C44C3" w:rsidRDefault="008C44C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1D9"/>
    <w:multiLevelType w:val="hybridMultilevel"/>
    <w:tmpl w:val="AD1477B6"/>
    <w:lvl w:ilvl="0" w:tplc="62164DE4">
      <w:start w:val="201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E40813"/>
    <w:multiLevelType w:val="hybridMultilevel"/>
    <w:tmpl w:val="AC027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919"/>
    <w:multiLevelType w:val="multilevel"/>
    <w:tmpl w:val="6BDA110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31F7F"/>
    <w:multiLevelType w:val="multilevel"/>
    <w:tmpl w:val="5F18B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57E13"/>
    <w:multiLevelType w:val="hybridMultilevel"/>
    <w:tmpl w:val="05D2C16A"/>
    <w:lvl w:ilvl="0" w:tplc="A91E96DC">
      <w:numFmt w:val="bullet"/>
      <w:lvlText w:val=""/>
      <w:lvlJc w:val="left"/>
      <w:pPr>
        <w:tabs>
          <w:tab w:val="num" w:pos="1667"/>
        </w:tabs>
        <w:ind w:left="1667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5">
    <w:nsid w:val="5795429A"/>
    <w:multiLevelType w:val="hybridMultilevel"/>
    <w:tmpl w:val="783400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C167E"/>
    <w:multiLevelType w:val="hybridMultilevel"/>
    <w:tmpl w:val="EAB4AC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52B8"/>
    <w:rsid w:val="000227B7"/>
    <w:rsid w:val="0002757B"/>
    <w:rsid w:val="00036CC1"/>
    <w:rsid w:val="00041533"/>
    <w:rsid w:val="00051FA6"/>
    <w:rsid w:val="000666F3"/>
    <w:rsid w:val="00074A85"/>
    <w:rsid w:val="000873D8"/>
    <w:rsid w:val="000A2274"/>
    <w:rsid w:val="000A3C36"/>
    <w:rsid w:val="000B1C37"/>
    <w:rsid w:val="00100694"/>
    <w:rsid w:val="00102B87"/>
    <w:rsid w:val="00117DFC"/>
    <w:rsid w:val="001237FC"/>
    <w:rsid w:val="00124555"/>
    <w:rsid w:val="00127DE8"/>
    <w:rsid w:val="00130E9A"/>
    <w:rsid w:val="00137A84"/>
    <w:rsid w:val="00150ECF"/>
    <w:rsid w:val="00180D60"/>
    <w:rsid w:val="001A30E5"/>
    <w:rsid w:val="001A6D0C"/>
    <w:rsid w:val="001D73FD"/>
    <w:rsid w:val="001E03C1"/>
    <w:rsid w:val="001E2E63"/>
    <w:rsid w:val="001F5CD9"/>
    <w:rsid w:val="00221A0E"/>
    <w:rsid w:val="00224D4A"/>
    <w:rsid w:val="002251A7"/>
    <w:rsid w:val="00230D16"/>
    <w:rsid w:val="0023351A"/>
    <w:rsid w:val="00243472"/>
    <w:rsid w:val="002530AB"/>
    <w:rsid w:val="00260F9C"/>
    <w:rsid w:val="00270873"/>
    <w:rsid w:val="00272D3C"/>
    <w:rsid w:val="002748B7"/>
    <w:rsid w:val="002760ED"/>
    <w:rsid w:val="00281C59"/>
    <w:rsid w:val="002871F5"/>
    <w:rsid w:val="002A3FBC"/>
    <w:rsid w:val="002A63DC"/>
    <w:rsid w:val="002D006E"/>
    <w:rsid w:val="002D20BE"/>
    <w:rsid w:val="002E78E5"/>
    <w:rsid w:val="00305E60"/>
    <w:rsid w:val="00312AAC"/>
    <w:rsid w:val="00325F7B"/>
    <w:rsid w:val="003327D0"/>
    <w:rsid w:val="003549A1"/>
    <w:rsid w:val="00360994"/>
    <w:rsid w:val="0036685A"/>
    <w:rsid w:val="00371B30"/>
    <w:rsid w:val="0038113A"/>
    <w:rsid w:val="00382486"/>
    <w:rsid w:val="00396EE5"/>
    <w:rsid w:val="003B14B1"/>
    <w:rsid w:val="003D2940"/>
    <w:rsid w:val="003D71A2"/>
    <w:rsid w:val="003F332D"/>
    <w:rsid w:val="00401D09"/>
    <w:rsid w:val="00405278"/>
    <w:rsid w:val="00410580"/>
    <w:rsid w:val="00413CEB"/>
    <w:rsid w:val="004243A8"/>
    <w:rsid w:val="0042451B"/>
    <w:rsid w:val="00430A48"/>
    <w:rsid w:val="00440792"/>
    <w:rsid w:val="00457840"/>
    <w:rsid w:val="0047570B"/>
    <w:rsid w:val="0048350E"/>
    <w:rsid w:val="00490E91"/>
    <w:rsid w:val="004970F6"/>
    <w:rsid w:val="0049744D"/>
    <w:rsid w:val="004C389F"/>
    <w:rsid w:val="004D273C"/>
    <w:rsid w:val="004E1DA3"/>
    <w:rsid w:val="004E7363"/>
    <w:rsid w:val="004F0908"/>
    <w:rsid w:val="00502583"/>
    <w:rsid w:val="00505813"/>
    <w:rsid w:val="00521103"/>
    <w:rsid w:val="00543265"/>
    <w:rsid w:val="00545F15"/>
    <w:rsid w:val="00585884"/>
    <w:rsid w:val="005974D0"/>
    <w:rsid w:val="005979F5"/>
    <w:rsid w:val="005A3923"/>
    <w:rsid w:val="005A6136"/>
    <w:rsid w:val="005C52B0"/>
    <w:rsid w:val="005D0898"/>
    <w:rsid w:val="005D7A59"/>
    <w:rsid w:val="005F4BE6"/>
    <w:rsid w:val="005F50AA"/>
    <w:rsid w:val="005F56C7"/>
    <w:rsid w:val="00615642"/>
    <w:rsid w:val="00617BAE"/>
    <w:rsid w:val="00617D83"/>
    <w:rsid w:val="00636199"/>
    <w:rsid w:val="006363C7"/>
    <w:rsid w:val="006462D8"/>
    <w:rsid w:val="006611BA"/>
    <w:rsid w:val="006B11C7"/>
    <w:rsid w:val="006C122A"/>
    <w:rsid w:val="006C6247"/>
    <w:rsid w:val="006D08A7"/>
    <w:rsid w:val="006E70C1"/>
    <w:rsid w:val="006F62D5"/>
    <w:rsid w:val="006F7A47"/>
    <w:rsid w:val="00703980"/>
    <w:rsid w:val="00707AD4"/>
    <w:rsid w:val="007234C8"/>
    <w:rsid w:val="007235AD"/>
    <w:rsid w:val="00734AE1"/>
    <w:rsid w:val="007460C2"/>
    <w:rsid w:val="0075174A"/>
    <w:rsid w:val="00752022"/>
    <w:rsid w:val="00752CA4"/>
    <w:rsid w:val="0076190E"/>
    <w:rsid w:val="007644F2"/>
    <w:rsid w:val="007656E4"/>
    <w:rsid w:val="00773484"/>
    <w:rsid w:val="00775FFE"/>
    <w:rsid w:val="007773EF"/>
    <w:rsid w:val="00777634"/>
    <w:rsid w:val="00793B2A"/>
    <w:rsid w:val="007B1F48"/>
    <w:rsid w:val="007B5774"/>
    <w:rsid w:val="007C59A4"/>
    <w:rsid w:val="007E36C4"/>
    <w:rsid w:val="007E4D9C"/>
    <w:rsid w:val="007F3A65"/>
    <w:rsid w:val="007F4858"/>
    <w:rsid w:val="008202D3"/>
    <w:rsid w:val="0084234E"/>
    <w:rsid w:val="008464A3"/>
    <w:rsid w:val="0085356A"/>
    <w:rsid w:val="00871CBE"/>
    <w:rsid w:val="008779BD"/>
    <w:rsid w:val="008A42F0"/>
    <w:rsid w:val="008C0323"/>
    <w:rsid w:val="008C44C3"/>
    <w:rsid w:val="008C5F4D"/>
    <w:rsid w:val="008D0253"/>
    <w:rsid w:val="008D0EAF"/>
    <w:rsid w:val="008E362F"/>
    <w:rsid w:val="008F405E"/>
    <w:rsid w:val="00931AA6"/>
    <w:rsid w:val="00934221"/>
    <w:rsid w:val="00942B08"/>
    <w:rsid w:val="00945D45"/>
    <w:rsid w:val="009477BB"/>
    <w:rsid w:val="00961F5C"/>
    <w:rsid w:val="00965CF7"/>
    <w:rsid w:val="0097384A"/>
    <w:rsid w:val="00980CCB"/>
    <w:rsid w:val="00991719"/>
    <w:rsid w:val="00995F70"/>
    <w:rsid w:val="009B4A6C"/>
    <w:rsid w:val="009B7949"/>
    <w:rsid w:val="00A054A5"/>
    <w:rsid w:val="00A15A54"/>
    <w:rsid w:val="00A25CEA"/>
    <w:rsid w:val="00A27F7E"/>
    <w:rsid w:val="00A57D7B"/>
    <w:rsid w:val="00A652B8"/>
    <w:rsid w:val="00A72220"/>
    <w:rsid w:val="00A72F29"/>
    <w:rsid w:val="00A82467"/>
    <w:rsid w:val="00AB2F42"/>
    <w:rsid w:val="00AC0E0A"/>
    <w:rsid w:val="00AC6B1B"/>
    <w:rsid w:val="00AD4115"/>
    <w:rsid w:val="00AE7DF0"/>
    <w:rsid w:val="00B00015"/>
    <w:rsid w:val="00B06204"/>
    <w:rsid w:val="00B12017"/>
    <w:rsid w:val="00B13C77"/>
    <w:rsid w:val="00B20FE8"/>
    <w:rsid w:val="00B221B4"/>
    <w:rsid w:val="00B27F85"/>
    <w:rsid w:val="00B3511E"/>
    <w:rsid w:val="00B4530B"/>
    <w:rsid w:val="00B4735A"/>
    <w:rsid w:val="00B65922"/>
    <w:rsid w:val="00B65B49"/>
    <w:rsid w:val="00B75EFA"/>
    <w:rsid w:val="00B77BFA"/>
    <w:rsid w:val="00B906BE"/>
    <w:rsid w:val="00B9764D"/>
    <w:rsid w:val="00BA039B"/>
    <w:rsid w:val="00BA087F"/>
    <w:rsid w:val="00BA5389"/>
    <w:rsid w:val="00BA5EF7"/>
    <w:rsid w:val="00BC1528"/>
    <w:rsid w:val="00BD2DFA"/>
    <w:rsid w:val="00BE1CCC"/>
    <w:rsid w:val="00C03D7E"/>
    <w:rsid w:val="00C10254"/>
    <w:rsid w:val="00C13461"/>
    <w:rsid w:val="00C3655E"/>
    <w:rsid w:val="00C457D0"/>
    <w:rsid w:val="00C47EEC"/>
    <w:rsid w:val="00C65946"/>
    <w:rsid w:val="00C6746C"/>
    <w:rsid w:val="00C97A1E"/>
    <w:rsid w:val="00CA0763"/>
    <w:rsid w:val="00CA24A0"/>
    <w:rsid w:val="00CA5A72"/>
    <w:rsid w:val="00CB154A"/>
    <w:rsid w:val="00CB27EB"/>
    <w:rsid w:val="00CB59EC"/>
    <w:rsid w:val="00CC5033"/>
    <w:rsid w:val="00CC68D6"/>
    <w:rsid w:val="00CD2E2C"/>
    <w:rsid w:val="00CD430C"/>
    <w:rsid w:val="00CE13FD"/>
    <w:rsid w:val="00D04B8C"/>
    <w:rsid w:val="00D0552A"/>
    <w:rsid w:val="00D302AB"/>
    <w:rsid w:val="00D42C9E"/>
    <w:rsid w:val="00D5637A"/>
    <w:rsid w:val="00D6536E"/>
    <w:rsid w:val="00D6656F"/>
    <w:rsid w:val="00D704F0"/>
    <w:rsid w:val="00D72527"/>
    <w:rsid w:val="00D80D41"/>
    <w:rsid w:val="00D906FA"/>
    <w:rsid w:val="00D93F08"/>
    <w:rsid w:val="00D97021"/>
    <w:rsid w:val="00DA5973"/>
    <w:rsid w:val="00DD1A3E"/>
    <w:rsid w:val="00DE48AA"/>
    <w:rsid w:val="00E1109F"/>
    <w:rsid w:val="00E144A0"/>
    <w:rsid w:val="00E20F1D"/>
    <w:rsid w:val="00E22F4C"/>
    <w:rsid w:val="00E23428"/>
    <w:rsid w:val="00E265EB"/>
    <w:rsid w:val="00E466BB"/>
    <w:rsid w:val="00E56B22"/>
    <w:rsid w:val="00E56EC6"/>
    <w:rsid w:val="00E57A18"/>
    <w:rsid w:val="00E70ABF"/>
    <w:rsid w:val="00E72972"/>
    <w:rsid w:val="00E75451"/>
    <w:rsid w:val="00E764CE"/>
    <w:rsid w:val="00E901E2"/>
    <w:rsid w:val="00E93D41"/>
    <w:rsid w:val="00EA141E"/>
    <w:rsid w:val="00EB60AA"/>
    <w:rsid w:val="00ED0724"/>
    <w:rsid w:val="00ED32C0"/>
    <w:rsid w:val="00EE1525"/>
    <w:rsid w:val="00F0066B"/>
    <w:rsid w:val="00F02510"/>
    <w:rsid w:val="00F06C89"/>
    <w:rsid w:val="00F16CD0"/>
    <w:rsid w:val="00F173BF"/>
    <w:rsid w:val="00F23F7C"/>
    <w:rsid w:val="00F25E46"/>
    <w:rsid w:val="00F31F48"/>
    <w:rsid w:val="00F32226"/>
    <w:rsid w:val="00F50289"/>
    <w:rsid w:val="00F51789"/>
    <w:rsid w:val="00F53A3C"/>
    <w:rsid w:val="00F64406"/>
    <w:rsid w:val="00F8038E"/>
    <w:rsid w:val="00F8549E"/>
    <w:rsid w:val="00F91608"/>
    <w:rsid w:val="00F936E2"/>
    <w:rsid w:val="00F93A86"/>
    <w:rsid w:val="00FB130B"/>
    <w:rsid w:val="00FC1871"/>
    <w:rsid w:val="00FC5891"/>
    <w:rsid w:val="00FC5AAB"/>
    <w:rsid w:val="00F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2B8"/>
    <w:rPr>
      <w:color w:val="000000"/>
    </w:rPr>
  </w:style>
  <w:style w:type="paragraph" w:styleId="1">
    <w:name w:val="heading 1"/>
    <w:basedOn w:val="a"/>
    <w:next w:val="a"/>
    <w:link w:val="10"/>
    <w:qFormat/>
    <w:rsid w:val="00F93A86"/>
    <w:pPr>
      <w:keepNext/>
      <w:widowControl/>
      <w:ind w:left="6300"/>
      <w:outlineLvl w:val="0"/>
    </w:pPr>
    <w:rPr>
      <w:rFonts w:ascii="Arial CYR" w:eastAsia="Times New Roman" w:hAnsi="Arial CYR" w:cs="Times New Roman"/>
      <w:b/>
      <w:bCs/>
      <w:color w:val="auto"/>
      <w:kern w:val="2"/>
      <w:lang w:bidi="ar-SA"/>
    </w:rPr>
  </w:style>
  <w:style w:type="paragraph" w:styleId="2">
    <w:name w:val="heading 2"/>
    <w:basedOn w:val="a"/>
    <w:next w:val="a"/>
    <w:link w:val="20"/>
    <w:qFormat/>
    <w:rsid w:val="00F93A86"/>
    <w:pPr>
      <w:keepNext/>
      <w:widowControl/>
      <w:jc w:val="center"/>
      <w:outlineLvl w:val="1"/>
    </w:pPr>
    <w:rPr>
      <w:rFonts w:ascii="Arial CYR" w:eastAsia="Times New Roman" w:hAnsi="Arial CYR" w:cs="Times New Roman"/>
      <w:b/>
      <w:bCs/>
      <w:color w:val="auto"/>
      <w:kern w:val="2"/>
      <w:lang w:bidi="ar-SA"/>
    </w:rPr>
  </w:style>
  <w:style w:type="paragraph" w:styleId="3">
    <w:name w:val="heading 3"/>
    <w:basedOn w:val="a"/>
    <w:next w:val="a"/>
    <w:link w:val="30"/>
    <w:qFormat/>
    <w:rsid w:val="00F93A86"/>
    <w:pPr>
      <w:keepNext/>
      <w:widowControl/>
      <w:outlineLvl w:val="2"/>
    </w:pPr>
    <w:rPr>
      <w:rFonts w:ascii="Arial CYR" w:eastAsia="Times New Roman" w:hAnsi="Arial CYR" w:cs="Times New Roman"/>
      <w:b/>
      <w:color w:val="auto"/>
      <w:kern w:val="2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2B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A652B8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11pt">
    <w:name w:val="Колонтитул (2) + Times New Roman;11 pt"/>
    <w:basedOn w:val="25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Колонтитул (2)"/>
    <w:basedOn w:val="25"/>
    <w:rsid w:val="00A652B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1"/>
    <w:rsid w:val="00A65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A65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sid w:val="00A65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Колонтитул (4)_"/>
    <w:basedOn w:val="a0"/>
    <w:link w:val="40"/>
    <w:rsid w:val="00A65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2115pt">
    <w:name w:val="Основной текст (2) + 11;5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65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652B8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652B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sid w:val="00A652B8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2">
    <w:name w:val="Основной текст (3)"/>
    <w:basedOn w:val="a"/>
    <w:link w:val="31"/>
    <w:rsid w:val="00A652B8"/>
    <w:pPr>
      <w:shd w:val="clear" w:color="auto" w:fill="FFFFFF"/>
      <w:spacing w:before="240" w:line="317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Колонтитул (3)"/>
    <w:basedOn w:val="a"/>
    <w:link w:val="33"/>
    <w:rsid w:val="00A65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Колонтитул (4)"/>
    <w:basedOn w:val="a"/>
    <w:link w:val="4"/>
    <w:rsid w:val="00A652B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922"/>
    <w:rPr>
      <w:color w:val="000000"/>
    </w:rPr>
  </w:style>
  <w:style w:type="paragraph" w:styleId="a8">
    <w:name w:val="footer"/>
    <w:basedOn w:val="a"/>
    <w:link w:val="a9"/>
    <w:unhideWhenUsed/>
    <w:rsid w:val="00B6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922"/>
    <w:rPr>
      <w:color w:val="000000"/>
    </w:rPr>
  </w:style>
  <w:style w:type="table" w:styleId="aa">
    <w:name w:val="Table Grid"/>
    <w:basedOn w:val="a1"/>
    <w:rsid w:val="00D72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F8549E"/>
    <w:pPr>
      <w:widowControl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paragraph" w:customStyle="1" w:styleId="13">
    <w:name w:val="Основной текст с отступом.Основной текст 1"/>
    <w:basedOn w:val="a"/>
    <w:rsid w:val="002251A7"/>
    <w:pPr>
      <w:widowControl/>
      <w:ind w:left="425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0">
    <w:name w:val="Основной текст 21"/>
    <w:basedOn w:val="a"/>
    <w:rsid w:val="002251A7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14">
    <w:name w:val="Без интервала1"/>
    <w:rsid w:val="002251A7"/>
    <w:pPr>
      <w:widowControl/>
    </w:pPr>
    <w:rPr>
      <w:rFonts w:ascii="Times New Roman" w:eastAsia="Calibri" w:hAnsi="Times New Roman" w:cs="Times New Roman"/>
      <w:lang w:bidi="ar-SA"/>
    </w:rPr>
  </w:style>
  <w:style w:type="paragraph" w:styleId="ab">
    <w:name w:val="Title"/>
    <w:basedOn w:val="a"/>
    <w:link w:val="ac"/>
    <w:uiPriority w:val="99"/>
    <w:qFormat/>
    <w:rsid w:val="002251A7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c">
    <w:name w:val="Название Знак"/>
    <w:basedOn w:val="a0"/>
    <w:link w:val="ab"/>
    <w:uiPriority w:val="99"/>
    <w:rsid w:val="002251A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Normal (Web)"/>
    <w:aliases w:val="Обычный (Web)1,Обычный (Web)"/>
    <w:basedOn w:val="a"/>
    <w:link w:val="ae"/>
    <w:uiPriority w:val="99"/>
    <w:rsid w:val="002251A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Cs w:val="20"/>
      <w:lang w:bidi="ar-SA"/>
    </w:rPr>
  </w:style>
  <w:style w:type="character" w:customStyle="1" w:styleId="ae">
    <w:name w:val="Обычный (веб) Знак"/>
    <w:aliases w:val="Обычный (Web)1 Знак,Обычный (Web) Знак"/>
    <w:link w:val="ad"/>
    <w:uiPriority w:val="99"/>
    <w:locked/>
    <w:rsid w:val="002251A7"/>
    <w:rPr>
      <w:rFonts w:ascii="Times New Roman" w:eastAsia="Calibri" w:hAnsi="Times New Roman" w:cs="Times New Roman"/>
      <w:szCs w:val="20"/>
      <w:lang w:bidi="ar-SA"/>
    </w:rPr>
  </w:style>
  <w:style w:type="paragraph" w:styleId="af">
    <w:name w:val="Body Text Indent"/>
    <w:aliases w:val="Основной текст 1"/>
    <w:basedOn w:val="a"/>
    <w:link w:val="af0"/>
    <w:uiPriority w:val="99"/>
    <w:rsid w:val="002251A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2251A7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uiPriority w:val="99"/>
    <w:rsid w:val="002251A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styleId="af1">
    <w:name w:val="Body Text"/>
    <w:basedOn w:val="a"/>
    <w:link w:val="af2"/>
    <w:uiPriority w:val="99"/>
    <w:semiHidden/>
    <w:unhideWhenUsed/>
    <w:rsid w:val="0045784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57840"/>
    <w:rPr>
      <w:color w:val="000000"/>
    </w:rPr>
  </w:style>
  <w:style w:type="paragraph" w:customStyle="1" w:styleId="Default">
    <w:name w:val="Default"/>
    <w:rsid w:val="002871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35">
    <w:name w:val="Body Text Indent 3"/>
    <w:basedOn w:val="a"/>
    <w:link w:val="36"/>
    <w:uiPriority w:val="99"/>
    <w:unhideWhenUsed/>
    <w:rsid w:val="007F3A6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F3A65"/>
    <w:rPr>
      <w:color w:val="000000"/>
      <w:sz w:val="16"/>
      <w:szCs w:val="16"/>
    </w:rPr>
  </w:style>
  <w:style w:type="paragraph" w:customStyle="1" w:styleId="220">
    <w:name w:val="Основной текст 22"/>
    <w:basedOn w:val="a"/>
    <w:rsid w:val="00440792"/>
    <w:pPr>
      <w:widowControl/>
      <w:ind w:left="573"/>
      <w:jc w:val="both"/>
    </w:pPr>
    <w:rPr>
      <w:rFonts w:ascii="Journal" w:eastAsia="Times New Roman" w:hAnsi="Journal" w:cs="Times New Roman"/>
      <w:color w:val="auto"/>
      <w:sz w:val="28"/>
      <w:szCs w:val="20"/>
      <w:lang w:bidi="ar-SA"/>
    </w:rPr>
  </w:style>
  <w:style w:type="paragraph" w:styleId="2c">
    <w:name w:val="Body Text 2"/>
    <w:basedOn w:val="a"/>
    <w:link w:val="2d"/>
    <w:uiPriority w:val="99"/>
    <w:semiHidden/>
    <w:unhideWhenUsed/>
    <w:rsid w:val="00D5637A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D5637A"/>
    <w:rPr>
      <w:color w:val="000000"/>
    </w:rPr>
  </w:style>
  <w:style w:type="paragraph" w:customStyle="1" w:styleId="5">
    <w:name w:val="Основной текст5"/>
    <w:basedOn w:val="a"/>
    <w:uiPriority w:val="99"/>
    <w:rsid w:val="0049744D"/>
    <w:pPr>
      <w:shd w:val="clear" w:color="auto" w:fill="FFFFFF"/>
      <w:spacing w:before="60" w:after="300" w:line="240" w:lineRule="atLeast"/>
      <w:ind w:hanging="720"/>
      <w:jc w:val="center"/>
    </w:pPr>
    <w:rPr>
      <w:rFonts w:ascii="Arial" w:eastAsia="Times New Roman" w:hAnsi="Arial" w:cs="Arial"/>
      <w:color w:val="auto"/>
      <w:spacing w:val="5"/>
      <w:sz w:val="17"/>
      <w:szCs w:val="17"/>
      <w:lang w:bidi="ar-SA"/>
    </w:rPr>
  </w:style>
  <w:style w:type="character" w:customStyle="1" w:styleId="10">
    <w:name w:val="Заголовок 1 Знак"/>
    <w:basedOn w:val="a0"/>
    <w:link w:val="1"/>
    <w:rsid w:val="00F93A86"/>
    <w:rPr>
      <w:rFonts w:ascii="Arial CYR" w:eastAsia="Times New Roman" w:hAnsi="Arial CYR" w:cs="Times New Roman"/>
      <w:b/>
      <w:bCs/>
      <w:kern w:val="2"/>
      <w:lang w:bidi="ar-SA"/>
    </w:rPr>
  </w:style>
  <w:style w:type="character" w:customStyle="1" w:styleId="20">
    <w:name w:val="Заголовок 2 Знак"/>
    <w:basedOn w:val="a0"/>
    <w:link w:val="2"/>
    <w:rsid w:val="00F93A86"/>
    <w:rPr>
      <w:rFonts w:ascii="Arial CYR" w:eastAsia="Times New Roman" w:hAnsi="Arial CYR" w:cs="Times New Roman"/>
      <w:b/>
      <w:bCs/>
      <w:kern w:val="2"/>
      <w:lang w:bidi="ar-SA"/>
    </w:rPr>
  </w:style>
  <w:style w:type="character" w:customStyle="1" w:styleId="30">
    <w:name w:val="Заголовок 3 Знак"/>
    <w:basedOn w:val="a0"/>
    <w:link w:val="3"/>
    <w:rsid w:val="00F93A86"/>
    <w:rPr>
      <w:rFonts w:ascii="Arial CYR" w:eastAsia="Times New Roman" w:hAnsi="Arial CYR" w:cs="Times New Roman"/>
      <w:b/>
      <w:kern w:val="2"/>
      <w:sz w:val="18"/>
      <w:lang w:bidi="ar-SA"/>
    </w:rPr>
  </w:style>
  <w:style w:type="paragraph" w:styleId="af3">
    <w:name w:val="Document Map"/>
    <w:basedOn w:val="a"/>
    <w:link w:val="af4"/>
    <w:unhideWhenUsed/>
    <w:rsid w:val="00F93A86"/>
    <w:pPr>
      <w:widowControl/>
      <w:shd w:val="clear" w:color="auto" w:fill="000080"/>
    </w:pPr>
    <w:rPr>
      <w:rFonts w:ascii="Tahoma" w:eastAsia="Times New Roman" w:hAnsi="Tahoma" w:cs="Times New Roman"/>
      <w:color w:val="auto"/>
      <w:kern w:val="2"/>
      <w:lang w:bidi="ar-SA"/>
    </w:rPr>
  </w:style>
  <w:style w:type="character" w:customStyle="1" w:styleId="af4">
    <w:name w:val="Схема документа Знак"/>
    <w:basedOn w:val="a0"/>
    <w:link w:val="af3"/>
    <w:rsid w:val="00F93A86"/>
    <w:rPr>
      <w:rFonts w:ascii="Tahoma" w:eastAsia="Times New Roman" w:hAnsi="Tahoma" w:cs="Times New Roman"/>
      <w:kern w:val="2"/>
      <w:shd w:val="clear" w:color="auto" w:fill="000080"/>
      <w:lang w:bidi="ar-SA"/>
    </w:rPr>
  </w:style>
  <w:style w:type="paragraph" w:styleId="af5">
    <w:name w:val="Balloon Text"/>
    <w:basedOn w:val="a"/>
    <w:link w:val="af6"/>
    <w:unhideWhenUsed/>
    <w:rsid w:val="00F93A86"/>
    <w:pPr>
      <w:widowControl/>
    </w:pPr>
    <w:rPr>
      <w:rFonts w:ascii="Tahoma" w:eastAsia="Times New Roman" w:hAnsi="Tahoma" w:cs="Times New Roman"/>
      <w:color w:val="auto"/>
      <w:kern w:val="2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rsid w:val="00F93A86"/>
    <w:rPr>
      <w:rFonts w:ascii="Tahoma" w:eastAsia="Times New Roman" w:hAnsi="Tahoma" w:cs="Times New Roman"/>
      <w:kern w:val="2"/>
      <w:sz w:val="16"/>
      <w:szCs w:val="16"/>
      <w:lang w:bidi="ar-SA"/>
    </w:rPr>
  </w:style>
  <w:style w:type="character" w:styleId="af7">
    <w:name w:val="page number"/>
    <w:basedOn w:val="a0"/>
    <w:rsid w:val="00F93A86"/>
  </w:style>
  <w:style w:type="paragraph" w:styleId="af8">
    <w:name w:val="List Paragraph"/>
    <w:basedOn w:val="a"/>
    <w:uiPriority w:val="34"/>
    <w:qFormat/>
    <w:rsid w:val="00F93A8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436E43B6BE15D67675398F211DCFEABF3FE7324802AC84DB35B4A43B823FD892EK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36E43B6BE15D67675386FF07B0A4A7FDF3242C81289F12E65D1D1CE825A8C9A76221C06563BA2FK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460306336E6C1E1F8CCDA0356C199A048E773E17E93ED9B6279A73Fw1Z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CDC9ACD2C8B5C055F1A31D653E16A7C214F76FA99EF1B916A1ED48B97314AF9EA9A2FXF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BBB5-6C84-4205-9CD1-4E75108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50</Pages>
  <Words>18995</Words>
  <Characters>108276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Лобосова ЭВ</cp:lastModifiedBy>
  <cp:revision>279</cp:revision>
  <cp:lastPrinted>2018-12-14T14:13:00Z</cp:lastPrinted>
  <dcterms:created xsi:type="dcterms:W3CDTF">2017-09-01T08:28:00Z</dcterms:created>
  <dcterms:modified xsi:type="dcterms:W3CDTF">2018-12-14T14:15:00Z</dcterms:modified>
</cp:coreProperties>
</file>